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E3" w:rsidRPr="00BD0FEE" w:rsidRDefault="00335DE3" w:rsidP="006A44CC">
      <w:pPr>
        <w:pStyle w:val="Capoverso"/>
        <w:spacing w:line="240" w:lineRule="auto"/>
        <w:rPr>
          <w:sz w:val="2"/>
          <w:szCs w:val="2"/>
        </w:rPr>
      </w:pPr>
    </w:p>
    <w:p w:rsidR="00335DE3" w:rsidRPr="00BD0FEE" w:rsidRDefault="00335DE3" w:rsidP="00710391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339D2" w:rsidRPr="00BD0FEE" w:rsidTr="0071039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339D2" w:rsidRPr="00BD0FEE" w:rsidRDefault="00C339D2" w:rsidP="00710391">
            <w:pPr>
              <w:pStyle w:val="DicituraAtto"/>
            </w:pPr>
            <w:r w:rsidRPr="00BD0FEE">
              <w:t>91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339D2" w:rsidRPr="00BD0FEE" w:rsidRDefault="00C339D2" w:rsidP="0071039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339D2" w:rsidRPr="00BD0FEE" w:rsidTr="0071039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339D2" w:rsidRPr="00BD0FEE" w:rsidRDefault="00C339D2" w:rsidP="0071039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339D2" w:rsidRPr="00BD0FEE" w:rsidRDefault="00C339D2" w:rsidP="00C339D2">
            <w:pPr>
              <w:pStyle w:val="TitoloAtto"/>
              <w:rPr>
                <w:spacing w:val="-2"/>
              </w:rPr>
            </w:pPr>
            <w:r w:rsidRPr="00BD0FEE">
              <w:rPr>
                <w:spacing w:val="-2"/>
              </w:rPr>
              <w:t>Richiesta di riesame del decreto di sequestro probatorio</w:t>
            </w:r>
          </w:p>
        </w:tc>
      </w:tr>
    </w:tbl>
    <w:p w:rsidR="00C339D2" w:rsidRPr="00BD0FEE" w:rsidRDefault="00C339D2" w:rsidP="00710391">
      <w:pPr>
        <w:pStyle w:val="CapoversoAtti"/>
      </w:pPr>
    </w:p>
    <w:p w:rsidR="00C339D2" w:rsidRPr="00BD0FEE" w:rsidRDefault="00C339D2" w:rsidP="00710391">
      <w:pPr>
        <w:pStyle w:val="CapoversoAtti"/>
      </w:pPr>
    </w:p>
    <w:p w:rsidR="00335DE3" w:rsidRPr="00BD0FEE" w:rsidRDefault="001F4C39" w:rsidP="006A44CC">
      <w:pPr>
        <w:pStyle w:val="CapoversoAtti"/>
        <w:spacing w:line="236" w:lineRule="exact"/>
        <w:jc w:val="center"/>
      </w:pPr>
      <w:r w:rsidRPr="00BD0FEE">
        <w:t>T</w:t>
      </w:r>
      <w:r w:rsidR="00632C2D" w:rsidRPr="00BD0FEE">
        <w:t>ribunale</w:t>
      </w:r>
      <w:r w:rsidR="00335DE3" w:rsidRPr="00BD0FEE">
        <w:t xml:space="preserve"> di … … … – Sezione per il riesame </w:t>
      </w:r>
      <w:r w:rsidR="00335DE3" w:rsidRPr="00BD0FEE">
        <w:rPr>
          <w:vertAlign w:val="superscript"/>
        </w:rPr>
        <w:footnoteReference w:id="1"/>
      </w:r>
    </w:p>
    <w:p w:rsidR="00335DE3" w:rsidRPr="00BD0FEE" w:rsidRDefault="00335DE3" w:rsidP="006A44CC">
      <w:pPr>
        <w:pStyle w:val="CapoversoAtti"/>
        <w:spacing w:line="236" w:lineRule="exact"/>
      </w:pPr>
    </w:p>
    <w:p w:rsidR="00C339D2" w:rsidRPr="00BD0FEE" w:rsidRDefault="00C339D2" w:rsidP="006A44CC">
      <w:pPr>
        <w:pStyle w:val="CapoversoAtti"/>
        <w:spacing w:line="236" w:lineRule="exact"/>
      </w:pPr>
    </w:p>
    <w:p w:rsidR="00C339D2" w:rsidRPr="00BD0FEE" w:rsidRDefault="00C339D2" w:rsidP="006A44CC">
      <w:pPr>
        <w:pStyle w:val="CapoversoAtti"/>
        <w:spacing w:line="236" w:lineRule="exact"/>
      </w:pPr>
    </w:p>
    <w:p w:rsidR="00335DE3" w:rsidRPr="00BD0FEE" w:rsidRDefault="00335DE3" w:rsidP="006A44CC">
      <w:pPr>
        <w:pStyle w:val="CapoversoAtti"/>
        <w:spacing w:line="236" w:lineRule="exact"/>
      </w:pPr>
      <w:r w:rsidRPr="00BD0FEE">
        <w:t>Il sottoscritto Avv. … … … (nome e cognome), difensore nel procedimento penale n … … … di … … … (nome e cognome), proprietario/titolare del diritto reale/posses</w:t>
      </w:r>
      <w:r w:rsidRPr="00BD0FEE">
        <w:softHyphen/>
        <w:t>sore/detentore ecc. </w:t>
      </w:r>
      <w:r w:rsidRPr="00BD0FEE">
        <w:rPr>
          <w:vertAlign w:val="superscript"/>
        </w:rPr>
        <w:footnoteReference w:id="2"/>
      </w:r>
      <w:r w:rsidRPr="00BD0FEE">
        <w:t xml:space="preserve"> </w:t>
      </w:r>
      <w:proofErr w:type="gramStart"/>
      <w:r w:rsidRPr="00BD0FEE">
        <w:t>del</w:t>
      </w:r>
      <w:proofErr w:type="gramEnd"/>
      <w:r w:rsidRPr="00BD0FEE">
        <w:t xml:space="preserve"> bene oggetto di sequestro</w:t>
      </w:r>
    </w:p>
    <w:p w:rsidR="00335DE3" w:rsidRPr="00BD0FEE" w:rsidRDefault="00335DE3" w:rsidP="006A44CC">
      <w:pPr>
        <w:pStyle w:val="CapoversoAtti"/>
        <w:spacing w:line="236" w:lineRule="exact"/>
      </w:pPr>
    </w:p>
    <w:p w:rsidR="00335DE3" w:rsidRPr="00BD0FEE" w:rsidRDefault="00335DE3" w:rsidP="006A44CC">
      <w:pPr>
        <w:pStyle w:val="CapoversoAtti"/>
        <w:spacing w:line="236" w:lineRule="exact"/>
        <w:jc w:val="center"/>
      </w:pPr>
      <w:proofErr w:type="gramStart"/>
      <w:r w:rsidRPr="00BD0FEE">
        <w:rPr>
          <w:i/>
        </w:rPr>
        <w:t>propone</w:t>
      </w:r>
      <w:proofErr w:type="gramEnd"/>
    </w:p>
    <w:p w:rsidR="00335DE3" w:rsidRPr="00BD0FEE" w:rsidRDefault="00335DE3" w:rsidP="006A44CC">
      <w:pPr>
        <w:pStyle w:val="CapoversoAtti"/>
        <w:spacing w:line="236" w:lineRule="exact"/>
      </w:pPr>
    </w:p>
    <w:p w:rsidR="00335DE3" w:rsidRPr="00BD0FEE" w:rsidRDefault="00335DE3" w:rsidP="006A44CC">
      <w:pPr>
        <w:pStyle w:val="CapoversoAtti"/>
        <w:spacing w:line="236" w:lineRule="exact"/>
      </w:pPr>
      <w:proofErr w:type="gramStart"/>
      <w:r w:rsidRPr="00BD0FEE">
        <w:t>richiesta</w:t>
      </w:r>
      <w:proofErr w:type="gramEnd"/>
      <w:r w:rsidRPr="00BD0FEE">
        <w:t xml:space="preserve"> di riesame avverso il decreto emesso in data …/…/…, da … … … </w:t>
      </w:r>
      <w:r w:rsidRPr="00BD0FEE">
        <w:rPr>
          <w:vertAlign w:val="superscript"/>
        </w:rPr>
        <w:footnoteReference w:id="3"/>
      </w:r>
      <w:r w:rsidRPr="00BD0FEE">
        <w:t xml:space="preserve"> </w:t>
      </w:r>
      <w:proofErr w:type="gramStart"/>
      <w:r w:rsidRPr="00BD0FEE">
        <w:t>con</w:t>
      </w:r>
      <w:proofErr w:type="gramEnd"/>
      <w:r w:rsidRPr="00BD0FEE">
        <w:t xml:space="preserve"> il quale veniva disposto il sequestro probatorio … … … </w:t>
      </w:r>
      <w:r w:rsidRPr="00BD0FEE">
        <w:rPr>
          <w:vertAlign w:val="superscript"/>
        </w:rPr>
        <w:footnoteReference w:id="4"/>
      </w:r>
      <w:r w:rsidRPr="00BD0FEE">
        <w:t>.</w:t>
      </w:r>
    </w:p>
    <w:p w:rsidR="00335DE3" w:rsidRPr="00BD0FEE" w:rsidRDefault="00335DE3" w:rsidP="006A44CC">
      <w:pPr>
        <w:pStyle w:val="CapoversoAtti"/>
        <w:spacing w:line="236" w:lineRule="exact"/>
      </w:pPr>
    </w:p>
    <w:p w:rsidR="00335DE3" w:rsidRPr="00BD0FEE" w:rsidRDefault="00335DE3" w:rsidP="006A44CC">
      <w:pPr>
        <w:pStyle w:val="CapoversoAtti"/>
        <w:spacing w:line="236" w:lineRule="exact"/>
        <w:jc w:val="center"/>
      </w:pPr>
      <w:r w:rsidRPr="00BD0FEE">
        <w:t>Motivi</w:t>
      </w:r>
    </w:p>
    <w:p w:rsidR="00335DE3" w:rsidRPr="00BD0FEE" w:rsidRDefault="00335DE3" w:rsidP="006A44CC">
      <w:pPr>
        <w:pStyle w:val="CapoversoAtti"/>
        <w:spacing w:line="236" w:lineRule="exact"/>
      </w:pPr>
      <w:r w:rsidRPr="00BD0FEE">
        <w:t>… … …</w:t>
      </w:r>
    </w:p>
    <w:p w:rsidR="00335DE3" w:rsidRPr="00BD0FEE" w:rsidRDefault="00335DE3" w:rsidP="006A44CC">
      <w:pPr>
        <w:pStyle w:val="CapoversoAtti"/>
        <w:spacing w:line="236" w:lineRule="exact"/>
      </w:pPr>
      <w:r w:rsidRPr="00BD0FEE">
        <w:t>… … … </w:t>
      </w:r>
      <w:r w:rsidRPr="00BD0FEE">
        <w:rPr>
          <w:vertAlign w:val="superscript"/>
        </w:rPr>
        <w:footnoteReference w:id="5"/>
      </w:r>
      <w:r w:rsidRPr="00BD0FEE">
        <w:t>.</w:t>
      </w:r>
    </w:p>
    <w:p w:rsidR="00335DE3" w:rsidRPr="00BD0FEE" w:rsidRDefault="00335DE3" w:rsidP="006A44CC">
      <w:pPr>
        <w:pStyle w:val="CapoversoAtti"/>
        <w:spacing w:line="236" w:lineRule="exact"/>
      </w:pPr>
      <w:r w:rsidRPr="00BD0FEE">
        <w:t>Si chiede, pertanto, l</w:t>
      </w:r>
      <w:r w:rsidR="002B2E98" w:rsidRPr="00BD0FEE">
        <w:t>’</w:t>
      </w:r>
      <w:r w:rsidRPr="00BD0FEE">
        <w:t>annullamento o la revoca dell</w:t>
      </w:r>
      <w:r w:rsidR="002B2E98" w:rsidRPr="00BD0FEE">
        <w:t>’</w:t>
      </w:r>
      <w:r w:rsidRPr="00BD0FEE">
        <w:t xml:space="preserve">impugnato decreto di sequestro probatorio disponendo, di conseguenza, la restituzione del </w:t>
      </w:r>
      <w:proofErr w:type="gramStart"/>
      <w:r w:rsidRPr="00BD0FEE">
        <w:t>bene </w:t>
      </w:r>
      <w:r w:rsidRPr="00BD0FEE">
        <w:rPr>
          <w:vertAlign w:val="superscript"/>
        </w:rPr>
        <w:footnoteReference w:id="6"/>
      </w:r>
      <w:r w:rsidRPr="00BD0FEE">
        <w:t>.</w:t>
      </w:r>
      <w:proofErr w:type="gramEnd"/>
    </w:p>
    <w:p w:rsidR="00335DE3" w:rsidRPr="00BD0FEE" w:rsidRDefault="00335DE3" w:rsidP="006A44CC">
      <w:pPr>
        <w:pStyle w:val="CapoversoAtti"/>
        <w:spacing w:line="236" w:lineRule="exact"/>
      </w:pPr>
    </w:p>
    <w:p w:rsidR="00335DE3" w:rsidRPr="00BD0FEE" w:rsidRDefault="00335DE3" w:rsidP="006A44CC">
      <w:pPr>
        <w:pStyle w:val="CapoversoAtti"/>
        <w:spacing w:line="236" w:lineRule="exact"/>
      </w:pPr>
      <w:r w:rsidRPr="00BD0FEE">
        <w:t>Luogo e data</w:t>
      </w:r>
    </w:p>
    <w:p w:rsidR="00182A74" w:rsidRPr="00966FF8" w:rsidRDefault="00335DE3" w:rsidP="00AA03E9">
      <w:pPr>
        <w:pStyle w:val="CapoversoAtti"/>
        <w:spacing w:line="236" w:lineRule="exact"/>
        <w:jc w:val="right"/>
        <w:rPr>
          <w:sz w:val="2"/>
          <w:szCs w:val="2"/>
        </w:rPr>
      </w:pPr>
      <w:r w:rsidRPr="00BD0FEE">
        <w:t>Sottoscrizione del difensore</w:t>
      </w:r>
    </w:p>
    <w:sectPr w:rsidR="00182A74" w:rsidRPr="00966FF8" w:rsidSect="001B5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226" w:rsidRDefault="00E55226">
      <w:r>
        <w:separator/>
      </w:r>
    </w:p>
    <w:p w:rsidR="00E55226" w:rsidRDefault="00E55226"/>
    <w:p w:rsidR="00E55226" w:rsidRDefault="00E55226"/>
    <w:p w:rsidR="00E55226" w:rsidRDefault="00E55226"/>
  </w:endnote>
  <w:endnote w:type="continuationSeparator" w:id="0">
    <w:p w:rsidR="00E55226" w:rsidRDefault="00E55226">
      <w:r>
        <w:continuationSeparator/>
      </w:r>
    </w:p>
    <w:p w:rsidR="00E55226" w:rsidRDefault="00E55226"/>
    <w:p w:rsidR="00E55226" w:rsidRDefault="00E55226"/>
    <w:p w:rsidR="00E55226" w:rsidRDefault="00E55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E9" w:rsidRDefault="00AA03E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E9" w:rsidRDefault="00AA03E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E9" w:rsidRDefault="00AA03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552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226" w:rsidRDefault="00E552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55226" w:rsidRPr="00BC75D6" w:rsidRDefault="00E552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552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226" w:rsidRDefault="00E552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55226" w:rsidRPr="00BC75D6" w:rsidRDefault="00E55226" w:rsidP="00BC75D6">
      <w:pPr>
        <w:spacing w:line="100" w:lineRule="exact"/>
        <w:rPr>
          <w:sz w:val="10"/>
          <w:szCs w:val="10"/>
        </w:rPr>
      </w:pPr>
    </w:p>
  </w:footnote>
  <w:footnote w:id="1">
    <w:p w:rsidR="00710391" w:rsidRPr="008F406A" w:rsidRDefault="00710391" w:rsidP="00C339D2">
      <w:pPr>
        <w:pStyle w:val="Notaapipagina"/>
      </w:pPr>
      <w:r w:rsidRPr="008F406A">
        <w:rPr>
          <w:vertAlign w:val="superscript"/>
        </w:rPr>
        <w:footnoteRef/>
      </w:r>
      <w:r w:rsidRPr="008F406A">
        <w:t xml:space="preserve"> L’art. 257 c.p.p. rinvia all’art. 324 c.p.p. che disciplina il riesame dei provvedimenti applicativi di misura cautelare reale. Il comma 5 di tale disposizione individua l’organo competente a decidere sulla richiesta di riesame nel </w:t>
      </w:r>
      <w:r w:rsidR="00D0134E">
        <w:t>T</w:t>
      </w:r>
      <w:r w:rsidR="008F406A" w:rsidRPr="008F406A">
        <w:t>ribunale</w:t>
      </w:r>
      <w:r w:rsidRPr="008F406A">
        <w:t xml:space="preserve">, in composizione collegiale, del capoluogo della provincia nella quale ha sede l’ufficio che ha emesso il provvedimento. </w:t>
      </w:r>
    </w:p>
  </w:footnote>
  <w:footnote w:id="2">
    <w:p w:rsidR="00710391" w:rsidRPr="008F406A" w:rsidRDefault="00710391" w:rsidP="00C339D2">
      <w:pPr>
        <w:pStyle w:val="Notaapipagina"/>
      </w:pPr>
      <w:r w:rsidRPr="008F406A">
        <w:rPr>
          <w:vertAlign w:val="superscript"/>
        </w:rPr>
        <w:footnoteRef/>
      </w:r>
      <w:r w:rsidRPr="008F406A">
        <w:t> Per la individuazione della legittimazione soggettiva, cfr. Quadro essenziale, § V.</w:t>
      </w:r>
    </w:p>
  </w:footnote>
  <w:footnote w:id="3">
    <w:p w:rsidR="00710391" w:rsidRPr="008F406A" w:rsidRDefault="00710391" w:rsidP="00C339D2">
      <w:pPr>
        <w:pStyle w:val="Notaapipagina"/>
      </w:pPr>
      <w:r w:rsidRPr="008F406A">
        <w:rPr>
          <w:vertAlign w:val="superscript"/>
        </w:rPr>
        <w:footnoteRef/>
      </w:r>
      <w:r w:rsidRPr="008F406A">
        <w:t> Indicare autorità giudiziaria.</w:t>
      </w:r>
    </w:p>
  </w:footnote>
  <w:footnote w:id="4">
    <w:p w:rsidR="00710391" w:rsidRPr="008F406A" w:rsidRDefault="00710391" w:rsidP="00C339D2">
      <w:pPr>
        <w:pStyle w:val="Notaapipagina"/>
      </w:pPr>
      <w:r w:rsidRPr="008F406A">
        <w:rPr>
          <w:vertAlign w:val="superscript"/>
        </w:rPr>
        <w:footnoteRef/>
      </w:r>
      <w:r w:rsidRPr="008F406A">
        <w:t> Segnalare i beni in questione.</w:t>
      </w:r>
    </w:p>
  </w:footnote>
  <w:footnote w:id="5">
    <w:p w:rsidR="00710391" w:rsidRPr="008F406A" w:rsidRDefault="00710391" w:rsidP="00C339D2">
      <w:pPr>
        <w:pStyle w:val="Notaapipagina"/>
      </w:pPr>
      <w:r w:rsidRPr="008F406A">
        <w:rPr>
          <w:vertAlign w:val="superscript"/>
        </w:rPr>
        <w:footnoteRef/>
      </w:r>
      <w:r w:rsidRPr="008F406A">
        <w:t xml:space="preserve"> Attesa la particolare natura del gravame i motivi sono facoltativi, per cui ci si può riservare di indicarli all’udienza in camera di consiglio. </w:t>
      </w:r>
    </w:p>
  </w:footnote>
  <w:footnote w:id="6">
    <w:p w:rsidR="00710391" w:rsidRPr="008F406A" w:rsidRDefault="00710391" w:rsidP="00C339D2">
      <w:pPr>
        <w:pStyle w:val="Notaapipagina"/>
      </w:pPr>
      <w:r w:rsidRPr="008F406A">
        <w:rPr>
          <w:vertAlign w:val="superscript"/>
        </w:rPr>
        <w:footnoteRef/>
      </w:r>
      <w:r w:rsidRPr="008F406A">
        <w:t> In proposito, si segnala che a differenza del meccanismo delineato dall’art. 263 c.p.p., che mira specificamente alla restituzione del bene sequestrato all’avente diritto, il riesame tende a realizzare un controllo, indipendentemente dall’individuazione del soggetto legittimato a rientrare in possesso del bene (</w:t>
      </w:r>
      <w:proofErr w:type="spellStart"/>
      <w:proofErr w:type="gramStart"/>
      <w:r w:rsidRPr="008F406A">
        <w:t>Cass</w:t>
      </w:r>
      <w:proofErr w:type="spellEnd"/>
      <w:r w:rsidRPr="008F406A">
        <w:t>.,</w:t>
      </w:r>
      <w:proofErr w:type="gramEnd"/>
      <w:r w:rsidRPr="008F406A">
        <w:t xml:space="preserve"> sez. VI, 10 giugno 1992, Pistillo, </w:t>
      </w:r>
      <w:r w:rsidRPr="008F406A">
        <w:rPr>
          <w:i/>
        </w:rPr>
        <w:t xml:space="preserve">Arch. n. </w:t>
      </w:r>
      <w:proofErr w:type="spellStart"/>
      <w:r w:rsidRPr="008F406A">
        <w:rPr>
          <w:i/>
        </w:rPr>
        <w:t>proc</w:t>
      </w:r>
      <w:proofErr w:type="spellEnd"/>
      <w:r w:rsidRPr="008F406A">
        <w:rPr>
          <w:i/>
        </w:rPr>
        <w:t xml:space="preserve">. </w:t>
      </w:r>
      <w:proofErr w:type="spellStart"/>
      <w:proofErr w:type="gramStart"/>
      <w:r w:rsidRPr="008F406A">
        <w:rPr>
          <w:i/>
        </w:rPr>
        <w:t>pen</w:t>
      </w:r>
      <w:proofErr w:type="spellEnd"/>
      <w:r w:rsidRPr="008F406A">
        <w:rPr>
          <w:i/>
        </w:rPr>
        <w:t>.</w:t>
      </w:r>
      <w:r w:rsidRPr="008F406A">
        <w:t>,</w:t>
      </w:r>
      <w:proofErr w:type="gramEnd"/>
      <w:r w:rsidRPr="008F406A">
        <w:t xml:space="preserve"> 1993, 650). Infatti, la semplice restituzione delle cose sequestrate non può essere richiesta al collegio del riesame né tale organo può comunque provvedere, dovendosi in tal caso procedere ai sensi del</w:t>
      </w:r>
      <w:r w:rsidRPr="008F406A">
        <w:softHyphen/>
        <w:t>l’art. 263 c.p.p. (</w:t>
      </w:r>
      <w:proofErr w:type="spellStart"/>
      <w:proofErr w:type="gramStart"/>
      <w:r w:rsidRPr="008F406A">
        <w:t>Cass</w:t>
      </w:r>
      <w:proofErr w:type="spellEnd"/>
      <w:r w:rsidRPr="008F406A">
        <w:t>.,</w:t>
      </w:r>
      <w:proofErr w:type="gramEnd"/>
      <w:r w:rsidRPr="008F406A">
        <w:t xml:space="preserve"> sez. V, 16 marzo 2005, C.,</w:t>
      </w:r>
      <w:r w:rsidRPr="008F406A">
        <w:rPr>
          <w:i/>
        </w:rPr>
        <w:t xml:space="preserve"> CED </w:t>
      </w:r>
      <w:proofErr w:type="spellStart"/>
      <w:r w:rsidRPr="008F406A">
        <w:rPr>
          <w:i/>
        </w:rPr>
        <w:t>Cass</w:t>
      </w:r>
      <w:proofErr w:type="spellEnd"/>
      <w:r w:rsidRPr="008F406A">
        <w:rPr>
          <w:i/>
        </w:rPr>
        <w:t>.</w:t>
      </w:r>
      <w:r w:rsidRPr="008F406A">
        <w:t>, 231685).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91" w:rsidRDefault="0071039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03E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10391" w:rsidRDefault="0071039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91" w:rsidRDefault="0071039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E9" w:rsidRDefault="00AA03E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32DD"/>
    <w:rsid w:val="00084BBB"/>
    <w:rsid w:val="0009681C"/>
    <w:rsid w:val="000B3932"/>
    <w:rsid w:val="000B40C4"/>
    <w:rsid w:val="000C33AA"/>
    <w:rsid w:val="000C394F"/>
    <w:rsid w:val="000E375D"/>
    <w:rsid w:val="000F12B0"/>
    <w:rsid w:val="00103859"/>
    <w:rsid w:val="001148B4"/>
    <w:rsid w:val="00115BF0"/>
    <w:rsid w:val="00116557"/>
    <w:rsid w:val="00136BD5"/>
    <w:rsid w:val="00147021"/>
    <w:rsid w:val="001571E4"/>
    <w:rsid w:val="00160F26"/>
    <w:rsid w:val="0017640D"/>
    <w:rsid w:val="00182A74"/>
    <w:rsid w:val="00185D1E"/>
    <w:rsid w:val="0018745C"/>
    <w:rsid w:val="001A00F1"/>
    <w:rsid w:val="001B1D80"/>
    <w:rsid w:val="001B5C24"/>
    <w:rsid w:val="001B5EAC"/>
    <w:rsid w:val="001B7DB2"/>
    <w:rsid w:val="001E71F0"/>
    <w:rsid w:val="001F4C39"/>
    <w:rsid w:val="001F5F4C"/>
    <w:rsid w:val="001F7563"/>
    <w:rsid w:val="002012CC"/>
    <w:rsid w:val="0021303E"/>
    <w:rsid w:val="0023575D"/>
    <w:rsid w:val="002361FD"/>
    <w:rsid w:val="00244C23"/>
    <w:rsid w:val="00246703"/>
    <w:rsid w:val="00253BAD"/>
    <w:rsid w:val="002614DD"/>
    <w:rsid w:val="00266FAE"/>
    <w:rsid w:val="00272A2D"/>
    <w:rsid w:val="00272F0D"/>
    <w:rsid w:val="002738C9"/>
    <w:rsid w:val="00277093"/>
    <w:rsid w:val="002913E3"/>
    <w:rsid w:val="0029322A"/>
    <w:rsid w:val="002A43B7"/>
    <w:rsid w:val="002A5046"/>
    <w:rsid w:val="002A5519"/>
    <w:rsid w:val="002B2E98"/>
    <w:rsid w:val="002D7705"/>
    <w:rsid w:val="002D7F74"/>
    <w:rsid w:val="002E7219"/>
    <w:rsid w:val="002E75B3"/>
    <w:rsid w:val="002F08F1"/>
    <w:rsid w:val="002F2CB9"/>
    <w:rsid w:val="002F46F9"/>
    <w:rsid w:val="00302D8E"/>
    <w:rsid w:val="003040CC"/>
    <w:rsid w:val="003178E8"/>
    <w:rsid w:val="003212AC"/>
    <w:rsid w:val="00335DE3"/>
    <w:rsid w:val="00342344"/>
    <w:rsid w:val="00342404"/>
    <w:rsid w:val="00355020"/>
    <w:rsid w:val="00356667"/>
    <w:rsid w:val="0037282E"/>
    <w:rsid w:val="00374C7F"/>
    <w:rsid w:val="00390B4B"/>
    <w:rsid w:val="00393A03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0CD"/>
    <w:rsid w:val="0045770A"/>
    <w:rsid w:val="004772B7"/>
    <w:rsid w:val="0048140E"/>
    <w:rsid w:val="00484006"/>
    <w:rsid w:val="004868CC"/>
    <w:rsid w:val="00490861"/>
    <w:rsid w:val="00495E04"/>
    <w:rsid w:val="004A3E08"/>
    <w:rsid w:val="004D00C5"/>
    <w:rsid w:val="004E7DC4"/>
    <w:rsid w:val="004F5617"/>
    <w:rsid w:val="005224AF"/>
    <w:rsid w:val="0052429F"/>
    <w:rsid w:val="00524575"/>
    <w:rsid w:val="00526891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87D26"/>
    <w:rsid w:val="00591956"/>
    <w:rsid w:val="00596E9F"/>
    <w:rsid w:val="00597B2C"/>
    <w:rsid w:val="005A03A9"/>
    <w:rsid w:val="005B7EA8"/>
    <w:rsid w:val="005C2E89"/>
    <w:rsid w:val="005E082B"/>
    <w:rsid w:val="005F0A89"/>
    <w:rsid w:val="005F7F44"/>
    <w:rsid w:val="006007E6"/>
    <w:rsid w:val="0060316E"/>
    <w:rsid w:val="00620DB6"/>
    <w:rsid w:val="00625790"/>
    <w:rsid w:val="00632C2D"/>
    <w:rsid w:val="00636609"/>
    <w:rsid w:val="006534D4"/>
    <w:rsid w:val="006544E2"/>
    <w:rsid w:val="00654F45"/>
    <w:rsid w:val="00660598"/>
    <w:rsid w:val="006745BF"/>
    <w:rsid w:val="00675199"/>
    <w:rsid w:val="006814EA"/>
    <w:rsid w:val="006844D6"/>
    <w:rsid w:val="0069030D"/>
    <w:rsid w:val="00692BF5"/>
    <w:rsid w:val="006A44CC"/>
    <w:rsid w:val="006A4DF4"/>
    <w:rsid w:val="006D1867"/>
    <w:rsid w:val="006E0166"/>
    <w:rsid w:val="006E3FFF"/>
    <w:rsid w:val="006F03ED"/>
    <w:rsid w:val="006F2325"/>
    <w:rsid w:val="006F3548"/>
    <w:rsid w:val="00700F9E"/>
    <w:rsid w:val="00701CB7"/>
    <w:rsid w:val="0070298A"/>
    <w:rsid w:val="00710391"/>
    <w:rsid w:val="00730D8D"/>
    <w:rsid w:val="00730EC3"/>
    <w:rsid w:val="00743B1D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2FA"/>
    <w:rsid w:val="007A6513"/>
    <w:rsid w:val="007B4BFF"/>
    <w:rsid w:val="007C1D50"/>
    <w:rsid w:val="007C5D21"/>
    <w:rsid w:val="007E2132"/>
    <w:rsid w:val="007E38D9"/>
    <w:rsid w:val="007E79B6"/>
    <w:rsid w:val="0082617E"/>
    <w:rsid w:val="00833DD3"/>
    <w:rsid w:val="008416A1"/>
    <w:rsid w:val="00852B1F"/>
    <w:rsid w:val="00855C23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406A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40A3"/>
    <w:rsid w:val="009B598D"/>
    <w:rsid w:val="009C31BD"/>
    <w:rsid w:val="009C77D1"/>
    <w:rsid w:val="009E1E4A"/>
    <w:rsid w:val="009E543D"/>
    <w:rsid w:val="00A2118C"/>
    <w:rsid w:val="00A22655"/>
    <w:rsid w:val="00A6074F"/>
    <w:rsid w:val="00A706EC"/>
    <w:rsid w:val="00A87EAE"/>
    <w:rsid w:val="00A9134D"/>
    <w:rsid w:val="00AA03E9"/>
    <w:rsid w:val="00AA1594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70EC1"/>
    <w:rsid w:val="00B77D88"/>
    <w:rsid w:val="00BC75D6"/>
    <w:rsid w:val="00BD0FEE"/>
    <w:rsid w:val="00BF4AF7"/>
    <w:rsid w:val="00C03C67"/>
    <w:rsid w:val="00C12C42"/>
    <w:rsid w:val="00C137EB"/>
    <w:rsid w:val="00C161E1"/>
    <w:rsid w:val="00C2203B"/>
    <w:rsid w:val="00C274BF"/>
    <w:rsid w:val="00C3392E"/>
    <w:rsid w:val="00C339D2"/>
    <w:rsid w:val="00C339DF"/>
    <w:rsid w:val="00C448E8"/>
    <w:rsid w:val="00C462DE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134E"/>
    <w:rsid w:val="00D1310D"/>
    <w:rsid w:val="00D2352E"/>
    <w:rsid w:val="00D252B9"/>
    <w:rsid w:val="00D25FA7"/>
    <w:rsid w:val="00D2707F"/>
    <w:rsid w:val="00D46EDF"/>
    <w:rsid w:val="00D649CD"/>
    <w:rsid w:val="00D7166A"/>
    <w:rsid w:val="00D76037"/>
    <w:rsid w:val="00D9164F"/>
    <w:rsid w:val="00DA2CB8"/>
    <w:rsid w:val="00DA69B8"/>
    <w:rsid w:val="00DA713B"/>
    <w:rsid w:val="00DC53D8"/>
    <w:rsid w:val="00DD44AA"/>
    <w:rsid w:val="00DE2519"/>
    <w:rsid w:val="00E02035"/>
    <w:rsid w:val="00E0277F"/>
    <w:rsid w:val="00E03367"/>
    <w:rsid w:val="00E11D61"/>
    <w:rsid w:val="00E14D6A"/>
    <w:rsid w:val="00E22556"/>
    <w:rsid w:val="00E35391"/>
    <w:rsid w:val="00E55226"/>
    <w:rsid w:val="00E6162E"/>
    <w:rsid w:val="00E70AB0"/>
    <w:rsid w:val="00E85AB4"/>
    <w:rsid w:val="00E9363C"/>
    <w:rsid w:val="00E96E43"/>
    <w:rsid w:val="00EA3249"/>
    <w:rsid w:val="00EA3B7B"/>
    <w:rsid w:val="00EA6557"/>
    <w:rsid w:val="00EB3B03"/>
    <w:rsid w:val="00EC175C"/>
    <w:rsid w:val="00EC45CD"/>
    <w:rsid w:val="00ED6B71"/>
    <w:rsid w:val="00EE5575"/>
    <w:rsid w:val="00F139CC"/>
    <w:rsid w:val="00F21CE2"/>
    <w:rsid w:val="00F24E26"/>
    <w:rsid w:val="00F34B50"/>
    <w:rsid w:val="00F359B1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5890"/>
    <w:rsid w:val="00FD0F53"/>
    <w:rsid w:val="00FD17CC"/>
    <w:rsid w:val="00FD3739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6"/>
    <o:shapelayout v:ext="edit">
      <o:idmap v:ext="edit" data="1"/>
    </o:shapelayout>
  </w:shapeDefaults>
  <w:decimalSymbol w:val=","/>
  <w:listSeparator w:val=";"/>
  <w15:chartTrackingRefBased/>
  <w15:docId w15:val="{5E2C374D-31A8-4C6B-9D58-A3FCA366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335DE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335DE3"/>
  </w:style>
  <w:style w:type="character" w:customStyle="1" w:styleId="IntestazioneCarattere">
    <w:name w:val="Intestazione Carattere"/>
    <w:link w:val="Intestazione"/>
    <w:uiPriority w:val="99"/>
    <w:rsid w:val="004868CC"/>
  </w:style>
  <w:style w:type="character" w:styleId="Enfasicorsivo">
    <w:name w:val="Emphasis"/>
    <w:uiPriority w:val="20"/>
    <w:qFormat/>
    <w:rsid w:val="00AA1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A6800-2671-43AB-87A3-16D9B65D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55</cp:revision>
  <cp:lastPrinted>2015-07-29T12:46:00Z</cp:lastPrinted>
  <dcterms:created xsi:type="dcterms:W3CDTF">2015-08-25T10:24:00Z</dcterms:created>
  <dcterms:modified xsi:type="dcterms:W3CDTF">2016-06-01T08:12:00Z</dcterms:modified>
</cp:coreProperties>
</file>