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C3" w:rsidRPr="00933BF9" w:rsidRDefault="007C5AC3" w:rsidP="00DB0DC9">
      <w:pPr>
        <w:widowControl w:val="0"/>
        <w:tabs>
          <w:tab w:val="left" w:pos="3420"/>
        </w:tabs>
        <w:jc w:val="both"/>
        <w:rPr>
          <w:rFonts w:ascii="Arial" w:hAnsi="Arial" w:cs="Arial"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7C5AC3" w:rsidRPr="00933BF9" w:rsidTr="00896D1A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7C5AC3" w:rsidRPr="00933BF9" w:rsidRDefault="00DB0DC9" w:rsidP="007C5AC3">
            <w:pPr>
              <w:pStyle w:val="DicituraAtto"/>
            </w:pPr>
            <w:r w:rsidRPr="00933BF9">
              <w:t>98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5AC3" w:rsidRPr="00933BF9" w:rsidTr="00896D1A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896D1A">
            <w:pPr>
              <w:pStyle w:val="TitoloAtto"/>
            </w:pPr>
            <w:r w:rsidRPr="00933BF9">
              <w:t>Indicazione delle comunicazioni (o dei flussi informatici) da acquisire</w:t>
            </w:r>
          </w:p>
        </w:tc>
      </w:tr>
    </w:tbl>
    <w:p w:rsidR="007C5AC3" w:rsidRPr="00933BF9" w:rsidRDefault="007C5AC3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b/>
          <w:sz w:val="18"/>
          <w:szCs w:val="18"/>
        </w:rPr>
      </w:pPr>
    </w:p>
    <w:p w:rsidR="00205642" w:rsidRPr="00933BF9" w:rsidRDefault="00205642" w:rsidP="00896D1A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205642" w:rsidRPr="00933BF9" w:rsidRDefault="00933BF9" w:rsidP="00896D1A">
      <w:pPr>
        <w:spacing w:after="200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933BF9">
        <w:rPr>
          <w:rFonts w:ascii="Arial" w:eastAsia="Calibri" w:hAnsi="Arial" w:cs="Arial"/>
          <w:sz w:val="18"/>
          <w:szCs w:val="18"/>
          <w:lang w:eastAsia="en-US"/>
        </w:rPr>
        <w:t>T</w:t>
      </w:r>
      <w:r w:rsidR="00EE7D6C" w:rsidRPr="00933BF9">
        <w:rPr>
          <w:rFonts w:ascii="Arial" w:eastAsia="Calibri" w:hAnsi="Arial" w:cs="Arial"/>
          <w:sz w:val="18"/>
          <w:szCs w:val="18"/>
          <w:lang w:eastAsia="en-US"/>
        </w:rPr>
        <w:t>ribunale</w:t>
      </w:r>
      <w:r w:rsidR="00205642" w:rsidRPr="00933BF9">
        <w:rPr>
          <w:rFonts w:ascii="Arial" w:eastAsia="Calibri" w:hAnsi="Arial" w:cs="Arial"/>
          <w:sz w:val="18"/>
          <w:szCs w:val="18"/>
          <w:lang w:eastAsia="en-US"/>
        </w:rPr>
        <w:t xml:space="preserve"> di … … …</w:t>
      </w:r>
    </w:p>
    <w:p w:rsidR="00205642" w:rsidRPr="00933BF9" w:rsidRDefault="00205642" w:rsidP="00896D1A">
      <w:pPr>
        <w:spacing w:after="200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933BF9">
        <w:rPr>
          <w:rFonts w:ascii="Arial" w:eastAsia="Calibri" w:hAnsi="Arial" w:cs="Arial"/>
          <w:sz w:val="18"/>
          <w:szCs w:val="18"/>
          <w:lang w:eastAsia="en-US"/>
        </w:rPr>
        <w:t>Ufficio del Giudice per le indagini preliminari</w:t>
      </w:r>
      <w:r w:rsidR="007770B6" w:rsidRPr="00933BF9">
        <w:rPr>
          <w:rFonts w:ascii="Arial" w:eastAsia="Calibri" w:hAnsi="Arial" w:cs="Arial"/>
          <w:sz w:val="18"/>
          <w:szCs w:val="18"/>
          <w:lang w:eastAsia="en-US"/>
        </w:rPr>
        <w:t> </w:t>
      </w:r>
      <w:r w:rsidRPr="00933BF9">
        <w:rPr>
          <w:rFonts w:ascii="Arial" w:eastAsia="Calibri" w:hAnsi="Arial" w:cs="Arial"/>
          <w:snapToGrid w:val="0"/>
          <w:color w:val="000000"/>
          <w:sz w:val="18"/>
          <w:szCs w:val="18"/>
          <w:vertAlign w:val="superscript"/>
          <w:lang w:eastAsia="en-US"/>
        </w:rPr>
        <w:footnoteReference w:id="1"/>
      </w:r>
      <w:r w:rsidRPr="00933BF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B5F9E" w:rsidRPr="00933BF9">
        <w:rPr>
          <w:rFonts w:ascii="Arial" w:eastAsia="Calibri" w:hAnsi="Arial" w:cs="Arial"/>
          <w:sz w:val="18"/>
          <w:szCs w:val="18"/>
          <w:lang w:eastAsia="en-US"/>
        </w:rPr>
        <w:t>–</w:t>
      </w:r>
      <w:r w:rsidRPr="00933BF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spellStart"/>
      <w:r w:rsidRPr="00933BF9">
        <w:rPr>
          <w:rFonts w:ascii="Arial" w:eastAsia="Calibri" w:hAnsi="Arial" w:cs="Arial"/>
          <w:sz w:val="18"/>
          <w:szCs w:val="18"/>
          <w:lang w:eastAsia="en-US"/>
        </w:rPr>
        <w:t>Proc</w:t>
      </w:r>
      <w:proofErr w:type="spellEnd"/>
      <w:r w:rsidRPr="00933BF9">
        <w:rPr>
          <w:rFonts w:ascii="Arial" w:eastAsia="Calibri" w:hAnsi="Arial" w:cs="Arial"/>
          <w:sz w:val="18"/>
          <w:szCs w:val="18"/>
          <w:lang w:eastAsia="en-US"/>
        </w:rPr>
        <w:t>. n. … … …</w:t>
      </w:r>
    </w:p>
    <w:p w:rsidR="007C5AC3" w:rsidRPr="00933BF9" w:rsidRDefault="007C5AC3" w:rsidP="00896D1A">
      <w:pPr>
        <w:spacing w:after="200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205642" w:rsidRPr="00933BF9" w:rsidRDefault="00205642" w:rsidP="007C5AC3">
      <w:pPr>
        <w:pStyle w:val="CapoversoAtti"/>
      </w:pPr>
      <w:r w:rsidRPr="00933BF9">
        <w:t>Il sottoscritto Avv. … … … (nome e cognome), con studio in</w:t>
      </w:r>
      <w:r w:rsidR="004B5F9E" w:rsidRPr="00933BF9">
        <w:t xml:space="preserve"> </w:t>
      </w:r>
      <w:r w:rsidRPr="00933BF9">
        <w:t>… … … , nella qualità di difensore di … … … (nome e cognome), indagato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2"/>
      </w:r>
      <w:r w:rsidRPr="00933BF9">
        <w:t xml:space="preserve"> nel procedimento penale in epigrafe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center"/>
        <w:rPr>
          <w:rFonts w:ascii="Arial" w:hAnsi="Arial" w:cs="Arial"/>
          <w:i/>
          <w:iCs/>
          <w:sz w:val="18"/>
          <w:szCs w:val="18"/>
        </w:rPr>
      </w:pPr>
      <w:r w:rsidRPr="00933BF9">
        <w:rPr>
          <w:rFonts w:ascii="Arial" w:hAnsi="Arial" w:cs="Arial"/>
          <w:i/>
          <w:iCs/>
          <w:sz w:val="18"/>
          <w:szCs w:val="18"/>
        </w:rPr>
        <w:t>premesso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– che nel corso del procedimento in epigrafe sono state effettuate intercettazioni di conversazioni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3"/>
      </w:r>
      <w:r w:rsidRPr="00933BF9">
        <w:t>;</w:t>
      </w:r>
    </w:p>
    <w:p w:rsidR="00205642" w:rsidRPr="00933BF9" w:rsidRDefault="00205642" w:rsidP="007C5AC3">
      <w:pPr>
        <w:pStyle w:val="CapoversoAtti"/>
      </w:pPr>
      <w:r w:rsidRPr="00933BF9">
        <w:t>– che è interesse della difesa ottenere l</w:t>
      </w:r>
      <w:r w:rsidR="001A0138" w:rsidRPr="00933BF9">
        <w:t>’</w:t>
      </w:r>
      <w:r w:rsidRPr="00933BF9">
        <w:t>acquisizione delle conversazioni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4"/>
      </w:r>
      <w:r w:rsidRPr="00933BF9">
        <w:t xml:space="preserve"> in quanto rilevanti per dimostrare … … ...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5"/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center"/>
        <w:rPr>
          <w:rFonts w:ascii="Arial" w:hAnsi="Arial" w:cs="Arial"/>
          <w:i/>
          <w:iCs/>
          <w:sz w:val="18"/>
          <w:szCs w:val="18"/>
        </w:rPr>
      </w:pPr>
      <w:r w:rsidRPr="00933BF9">
        <w:rPr>
          <w:rFonts w:ascii="Arial" w:hAnsi="Arial" w:cs="Arial"/>
          <w:i/>
          <w:iCs/>
          <w:sz w:val="18"/>
          <w:szCs w:val="18"/>
        </w:rPr>
        <w:t>indica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ai sensi e per gli effetti dell</w:t>
      </w:r>
      <w:r w:rsidR="001A0138" w:rsidRPr="00933BF9">
        <w:t>’</w:t>
      </w:r>
      <w:r w:rsidRPr="00933BF9">
        <w:t>art. 268, comma 6, c.p.p., le predette conversazioni da acquisire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6"/>
      </w:r>
      <w:r w:rsidRPr="00933BF9">
        <w:t>: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  <w:r w:rsidRPr="00933BF9">
        <w:rPr>
          <w:rFonts w:ascii="Arial" w:hAnsi="Arial" w:cs="Arial"/>
          <w:iCs/>
          <w:sz w:val="18"/>
          <w:szCs w:val="18"/>
        </w:rPr>
        <w:t>… … …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  <w:r w:rsidRPr="00933BF9">
        <w:rPr>
          <w:rFonts w:ascii="Arial" w:hAnsi="Arial" w:cs="Arial"/>
          <w:iCs/>
          <w:sz w:val="18"/>
          <w:szCs w:val="18"/>
        </w:rPr>
        <w:t>… … …</w:t>
      </w:r>
    </w:p>
    <w:p w:rsidR="004B5F9E" w:rsidRPr="00933BF9" w:rsidRDefault="004B5F9E" w:rsidP="007C5AC3">
      <w:pPr>
        <w:pStyle w:val="CapoversoAtti"/>
      </w:pPr>
    </w:p>
    <w:p w:rsidR="00205642" w:rsidRPr="00933BF9" w:rsidRDefault="00205642" w:rsidP="007C5AC3">
      <w:pPr>
        <w:pStyle w:val="CapoversoAtti"/>
      </w:pPr>
      <w:r w:rsidRPr="00933BF9">
        <w:t>Luogo e data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iCs/>
          <w:sz w:val="18"/>
          <w:szCs w:val="18"/>
        </w:rPr>
      </w:pPr>
    </w:p>
    <w:p w:rsidR="00205642" w:rsidRPr="00AB7076" w:rsidRDefault="00205642" w:rsidP="00A24BB7">
      <w:pPr>
        <w:widowControl w:val="0"/>
        <w:tabs>
          <w:tab w:val="left" w:pos="3420"/>
        </w:tabs>
        <w:spacing w:line="240" w:lineRule="exact"/>
        <w:jc w:val="right"/>
      </w:pPr>
      <w:r w:rsidRPr="00933BF9">
        <w:rPr>
          <w:rFonts w:ascii="Arial" w:hAnsi="Arial" w:cs="Arial"/>
          <w:sz w:val="18"/>
          <w:szCs w:val="18"/>
        </w:rPr>
        <w:t>Sottoscrizione del difensore</w:t>
      </w: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1A0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CA" w:rsidRDefault="002261CA">
      <w:r>
        <w:separator/>
      </w:r>
    </w:p>
    <w:p w:rsidR="002261CA" w:rsidRDefault="002261CA"/>
    <w:p w:rsidR="002261CA" w:rsidRDefault="002261CA"/>
    <w:p w:rsidR="002261CA" w:rsidRDefault="002261CA"/>
  </w:endnote>
  <w:endnote w:type="continuationSeparator" w:id="0">
    <w:p w:rsidR="002261CA" w:rsidRDefault="002261CA">
      <w:r>
        <w:continuationSeparator/>
      </w:r>
    </w:p>
    <w:p w:rsidR="002261CA" w:rsidRDefault="002261CA"/>
    <w:p w:rsidR="002261CA" w:rsidRDefault="002261CA"/>
    <w:p w:rsidR="002261CA" w:rsidRDefault="00226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BB7" w:rsidRDefault="00A24B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BB7" w:rsidRDefault="00A24BB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BB7" w:rsidRDefault="00A24B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id="1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 xml:space="preserve">Ovvero, indicare la diversa autorità giudiziaria competente. Ad es.: “Giudice dell’udienza preliminare di … … …, </w:t>
      </w:r>
      <w:r w:rsidR="00322FD0">
        <w:t>T</w:t>
      </w:r>
      <w:r w:rsidR="00EE7D6C" w:rsidRPr="00933BF9">
        <w:t>ribunale</w:t>
      </w:r>
      <w:r w:rsidRPr="00933BF9">
        <w:t xml:space="preserve"> per i minorenni di … … …”.</w:t>
      </w:r>
    </w:p>
  </w:footnote>
  <w:footnote w:id="2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 xml:space="preserve">Oppure: “imputato”. </w:t>
      </w:r>
    </w:p>
  </w:footnote>
  <w:footnote w:id="3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</w:t>
      </w:r>
      <w:r w:rsidRPr="00933BF9">
        <w:rPr>
          <w:iCs/>
        </w:rPr>
        <w:t xml:space="preserve"> “di flussi di comunicazioni informatiche o telematiche”.</w:t>
      </w:r>
    </w:p>
  </w:footnote>
  <w:footnote w:id="4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Oppure: “dei flussi di comunicazione informatiche o telematiche”.</w:t>
      </w:r>
      <w:r w:rsidRPr="00933BF9">
        <w:t xml:space="preserve"> </w:t>
      </w:r>
    </w:p>
  </w:footnote>
  <w:footnote w:id="5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Spiegare le ragioni.</w:t>
      </w:r>
    </w:p>
  </w:footnote>
  <w:footnote w:id="6">
    <w:p w:rsidR="00896D1A" w:rsidRPr="00933BF9" w:rsidRDefault="00896D1A" w:rsidP="007C5AC3">
      <w:pPr>
        <w:pStyle w:val="Notaapipagina"/>
        <w:rPr>
          <w:spacing w:val="-1"/>
        </w:rPr>
      </w:pPr>
      <w:r w:rsidRPr="00933BF9">
        <w:rPr>
          <w:rStyle w:val="Rimandonotaapidipagina"/>
          <w:snapToGrid w:val="0"/>
          <w:color w:val="000000"/>
          <w:spacing w:val="-1"/>
        </w:rPr>
        <w:footnoteRef/>
      </w:r>
      <w:r w:rsidRPr="00933BF9">
        <w:rPr>
          <w:snapToGrid w:val="0"/>
          <w:spacing w:val="-1"/>
        </w:rPr>
        <w:t> </w:t>
      </w:r>
      <w:r w:rsidRPr="00933BF9">
        <w:rPr>
          <w:spacing w:val="-1"/>
        </w:rPr>
        <w:t>Segnalare le conversazioni e/o i flussi di comunicazioni informatiche o telematiche da acquisire.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Default="00896D1A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4BB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96D1A" w:rsidRDefault="00896D1A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Default="00896D1A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BB7" w:rsidRDefault="00A24BB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5" type="connector" idref="#AutoShape 6"/>
        <o:r id="V:Rule38" type="connector" idref="#AutoShape 4"/>
        <o:r id="V:Rule39" type="connector" idref="#AutoShape 5"/>
        <o:r id="V:Rule40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A0138"/>
    <w:rsid w:val="001B1D80"/>
    <w:rsid w:val="001B5EAC"/>
    <w:rsid w:val="001B7DB2"/>
    <w:rsid w:val="001E71F0"/>
    <w:rsid w:val="001F5F4C"/>
    <w:rsid w:val="001F7563"/>
    <w:rsid w:val="002012CC"/>
    <w:rsid w:val="00205642"/>
    <w:rsid w:val="0021303E"/>
    <w:rsid w:val="002261CA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2FD0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05AC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97A29"/>
    <w:rsid w:val="004A3E08"/>
    <w:rsid w:val="004B4654"/>
    <w:rsid w:val="004B5F9E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785"/>
    <w:rsid w:val="00583EA9"/>
    <w:rsid w:val="005870BB"/>
    <w:rsid w:val="0058757A"/>
    <w:rsid w:val="00591956"/>
    <w:rsid w:val="00596E9F"/>
    <w:rsid w:val="00597B2C"/>
    <w:rsid w:val="005A03A9"/>
    <w:rsid w:val="005B7EA8"/>
    <w:rsid w:val="005E082B"/>
    <w:rsid w:val="005E7060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0E68"/>
    <w:rsid w:val="006745BF"/>
    <w:rsid w:val="00675199"/>
    <w:rsid w:val="006844D6"/>
    <w:rsid w:val="0069030D"/>
    <w:rsid w:val="00692BF5"/>
    <w:rsid w:val="006A3AEE"/>
    <w:rsid w:val="006A4DF4"/>
    <w:rsid w:val="006A5E92"/>
    <w:rsid w:val="006D1867"/>
    <w:rsid w:val="006D275F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445B"/>
    <w:rsid w:val="00746538"/>
    <w:rsid w:val="0074785F"/>
    <w:rsid w:val="00751C91"/>
    <w:rsid w:val="007663CA"/>
    <w:rsid w:val="007664F6"/>
    <w:rsid w:val="00772792"/>
    <w:rsid w:val="00775613"/>
    <w:rsid w:val="00775C97"/>
    <w:rsid w:val="007770B6"/>
    <w:rsid w:val="007812B6"/>
    <w:rsid w:val="007943D2"/>
    <w:rsid w:val="007A01F7"/>
    <w:rsid w:val="007A6513"/>
    <w:rsid w:val="007C1D50"/>
    <w:rsid w:val="007C5AC3"/>
    <w:rsid w:val="007C5D21"/>
    <w:rsid w:val="007D64D7"/>
    <w:rsid w:val="007E2132"/>
    <w:rsid w:val="007E38D9"/>
    <w:rsid w:val="007E79B6"/>
    <w:rsid w:val="007F0CE5"/>
    <w:rsid w:val="0082617E"/>
    <w:rsid w:val="00833DD3"/>
    <w:rsid w:val="008416A1"/>
    <w:rsid w:val="0085191D"/>
    <w:rsid w:val="00862974"/>
    <w:rsid w:val="00865ED3"/>
    <w:rsid w:val="00881C16"/>
    <w:rsid w:val="00882AB0"/>
    <w:rsid w:val="008849FF"/>
    <w:rsid w:val="00893CA6"/>
    <w:rsid w:val="00894761"/>
    <w:rsid w:val="00896B0F"/>
    <w:rsid w:val="00896D1A"/>
    <w:rsid w:val="008B1118"/>
    <w:rsid w:val="008B189F"/>
    <w:rsid w:val="008D6DA2"/>
    <w:rsid w:val="008F0D74"/>
    <w:rsid w:val="008F1ACA"/>
    <w:rsid w:val="008F3CC7"/>
    <w:rsid w:val="008F6DF4"/>
    <w:rsid w:val="0091400B"/>
    <w:rsid w:val="00921774"/>
    <w:rsid w:val="0093177E"/>
    <w:rsid w:val="00933BF9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9E706E"/>
    <w:rsid w:val="00A109C8"/>
    <w:rsid w:val="00A11A51"/>
    <w:rsid w:val="00A11EDD"/>
    <w:rsid w:val="00A2118C"/>
    <w:rsid w:val="00A22655"/>
    <w:rsid w:val="00A24BB7"/>
    <w:rsid w:val="00A6074F"/>
    <w:rsid w:val="00A706EC"/>
    <w:rsid w:val="00A77815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56F68"/>
    <w:rsid w:val="00B70EC1"/>
    <w:rsid w:val="00BA2DF9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873B9"/>
    <w:rsid w:val="00D9164F"/>
    <w:rsid w:val="00DA69B8"/>
    <w:rsid w:val="00DA713B"/>
    <w:rsid w:val="00DB0DC9"/>
    <w:rsid w:val="00DC53D8"/>
    <w:rsid w:val="00DD44AA"/>
    <w:rsid w:val="00DE2519"/>
    <w:rsid w:val="00DE3EFD"/>
    <w:rsid w:val="00E02035"/>
    <w:rsid w:val="00E0277F"/>
    <w:rsid w:val="00E0485C"/>
    <w:rsid w:val="00E11D61"/>
    <w:rsid w:val="00E139BC"/>
    <w:rsid w:val="00E14D6A"/>
    <w:rsid w:val="00E22556"/>
    <w:rsid w:val="00E35391"/>
    <w:rsid w:val="00E6162E"/>
    <w:rsid w:val="00E77045"/>
    <w:rsid w:val="00E81E03"/>
    <w:rsid w:val="00E9363C"/>
    <w:rsid w:val="00E96E43"/>
    <w:rsid w:val="00E97B0B"/>
    <w:rsid w:val="00EA3249"/>
    <w:rsid w:val="00EA3B7B"/>
    <w:rsid w:val="00EB3B03"/>
    <w:rsid w:val="00EC175C"/>
    <w:rsid w:val="00EC45CD"/>
    <w:rsid w:val="00EC7EDE"/>
    <w:rsid w:val="00EE5575"/>
    <w:rsid w:val="00EE7D6C"/>
    <w:rsid w:val="00EF0131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373A"/>
    <w:rsid w:val="00FD0F53"/>
    <w:rsid w:val="00FD17CC"/>
    <w:rsid w:val="00FE2CE5"/>
    <w:rsid w:val="00FE4873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4172CE0D-6B21-46DA-A136-AC670F4E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205642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205642"/>
  </w:style>
  <w:style w:type="paragraph" w:styleId="Corpodeltesto3">
    <w:name w:val="Body Text 3"/>
    <w:basedOn w:val="Normale"/>
    <w:link w:val="Corpodeltesto3Carattere"/>
    <w:rsid w:val="00205642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05642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89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7F5D-666E-4349-92AD-AC617443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2015-08-31T10:41:00Z</cp:lastPrinted>
  <dcterms:created xsi:type="dcterms:W3CDTF">2015-08-25T10:54:00Z</dcterms:created>
  <dcterms:modified xsi:type="dcterms:W3CDTF">2016-06-01T08:18:00Z</dcterms:modified>
</cp:coreProperties>
</file>