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1" w:type="dxa"/>
        <w:tblInd w:w="108" w:type="dxa"/>
        <w:tblLook w:val="01E0" w:firstRow="1" w:lastRow="1" w:firstColumn="1" w:lastColumn="1" w:noHBand="0" w:noVBand="0"/>
      </w:tblPr>
      <w:tblGrid>
        <w:gridCol w:w="537"/>
        <w:gridCol w:w="5984"/>
      </w:tblGrid>
      <w:tr w:rsidR="00DF1546" w:rsidRPr="003F7ADB" w14:paraId="3CDB5112" w14:textId="77777777" w:rsidTr="006E1829">
        <w:tc>
          <w:tcPr>
            <w:tcW w:w="537" w:type="dxa"/>
            <w:tcBorders>
              <w:bottom w:val="single" w:sz="4" w:space="0" w:color="5F5F5F"/>
              <w:right w:val="single" w:sz="4" w:space="0" w:color="5F5F5F"/>
            </w:tcBorders>
            <w:shd w:val="clear" w:color="auto" w:fill="auto"/>
            <w:vAlign w:val="center"/>
          </w:tcPr>
          <w:p w14:paraId="5B15AE45" w14:textId="18B73240" w:rsidR="00DF1546" w:rsidRPr="003F7ADB" w:rsidRDefault="009E05CD" w:rsidP="007C6801">
            <w:pPr>
              <w:pStyle w:val="DicituraAtto"/>
            </w:pPr>
            <w:r w:rsidRPr="003F7ADB">
              <w:t>32</w:t>
            </w:r>
            <w:r w:rsidR="007C6801" w:rsidRPr="003F7ADB">
              <w:t>5</w:t>
            </w:r>
          </w:p>
        </w:tc>
        <w:tc>
          <w:tcPr>
            <w:tcW w:w="5984" w:type="dxa"/>
            <w:tcBorders>
              <w:left w:val="single" w:sz="4" w:space="0" w:color="5F5F5F"/>
              <w:bottom w:val="single" w:sz="4" w:space="0" w:color="5F5F5F"/>
            </w:tcBorders>
          </w:tcPr>
          <w:p w14:paraId="69CB71D8"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2E857DFB" w14:textId="77777777" w:rsidTr="006E1829">
        <w:trPr>
          <w:trHeight w:val="352"/>
        </w:trPr>
        <w:tc>
          <w:tcPr>
            <w:tcW w:w="537" w:type="dxa"/>
            <w:tcBorders>
              <w:top w:val="single" w:sz="4" w:space="0" w:color="5F5F5F"/>
              <w:right w:val="single" w:sz="4" w:space="0" w:color="5F5F5F"/>
            </w:tcBorders>
            <w:vAlign w:val="center"/>
          </w:tcPr>
          <w:p w14:paraId="44C20511"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62493BBC" w14:textId="383E3812" w:rsidR="00DF1546" w:rsidRPr="003F7ADB" w:rsidRDefault="006E1829" w:rsidP="006E1829">
            <w:pPr>
              <w:pStyle w:val="TitoloAtto"/>
            </w:pPr>
            <w:r w:rsidRPr="003F7ADB">
              <w:t>Appello dell</w:t>
            </w:r>
            <w:r w:rsidR="00650B84" w:rsidRPr="003F7ADB">
              <w:t>’</w:t>
            </w:r>
            <w:r w:rsidRPr="003F7ADB">
              <w:t>imputato contro le sentenze di condanna</w:t>
            </w:r>
          </w:p>
        </w:tc>
      </w:tr>
    </w:tbl>
    <w:p w14:paraId="523EC220" w14:textId="77777777" w:rsidR="00510591" w:rsidRPr="003F7ADB" w:rsidRDefault="00510591" w:rsidP="006E1829">
      <w:pPr>
        <w:pStyle w:val="CapoversoAtti"/>
      </w:pPr>
    </w:p>
    <w:p w14:paraId="4CAA2B74" w14:textId="77777777" w:rsidR="00510591" w:rsidRPr="003F7ADB" w:rsidRDefault="00510591" w:rsidP="006E1829">
      <w:pPr>
        <w:pStyle w:val="CapoversoAtti"/>
      </w:pPr>
    </w:p>
    <w:p w14:paraId="3751D536" w14:textId="77777777" w:rsidR="006E1829" w:rsidRPr="003F7ADB" w:rsidRDefault="006E1829" w:rsidP="006E1829">
      <w:pPr>
        <w:pStyle w:val="CapoversoAtti"/>
      </w:pPr>
    </w:p>
    <w:p w14:paraId="596D4AD0" w14:textId="0A780BE7" w:rsidR="00510591" w:rsidRPr="003F7ADB" w:rsidRDefault="005241E9" w:rsidP="006E1829">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50DBF15E" w14:textId="77777777" w:rsidR="00510591" w:rsidRPr="003F7ADB" w:rsidRDefault="00510591" w:rsidP="006E1829">
      <w:pPr>
        <w:pStyle w:val="CapoversoAtti"/>
      </w:pPr>
    </w:p>
    <w:p w14:paraId="20C77AE4" w14:textId="77777777" w:rsidR="00510591" w:rsidRPr="003F7ADB" w:rsidRDefault="00510591" w:rsidP="006E1829">
      <w:pPr>
        <w:pStyle w:val="CapoversoAtti"/>
      </w:pPr>
    </w:p>
    <w:p w14:paraId="1FC24B35" w14:textId="3C61F2FD" w:rsidR="00510591" w:rsidRPr="003F7ADB" w:rsidRDefault="00510591" w:rsidP="006E1829">
      <w:pPr>
        <w:pStyle w:val="CapoversoAtti"/>
      </w:pPr>
      <w:r w:rsidRPr="003F7ADB">
        <w:t>Il sottoscritto Avv. … … ...</w:t>
      </w:r>
      <w:r w:rsidRPr="003F7ADB">
        <w:rPr>
          <w:snapToGrid w:val="0"/>
          <w:color w:val="000000"/>
          <w:u w:color="000000"/>
        </w:rPr>
        <w:t> </w:t>
      </w:r>
      <w:r w:rsidRPr="003F7ADB">
        <w:rPr>
          <w:snapToGrid w:val="0"/>
          <w:color w:val="000000"/>
          <w:u w:color="000000"/>
          <w:vertAlign w:val="superscript"/>
        </w:rPr>
        <w:footnoteReference w:id="2"/>
      </w:r>
      <w:r w:rsidRPr="003F7ADB">
        <w:t xml:space="preserve"> </w:t>
      </w:r>
      <w:proofErr w:type="gramStart"/>
      <w:r w:rsidRPr="003F7ADB">
        <w:t>difensore</w:t>
      </w:r>
      <w:proofErr w:type="gramEnd"/>
      <w:r w:rsidRPr="003F7ADB">
        <w:t xml:space="preserve"> di … … … (nome e cognome), imputato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3"/>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4"/>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5"/>
      </w:r>
      <w:r w:rsidRPr="003F7ADB">
        <w:t xml:space="preserve">, con la quale il … … … </w:t>
      </w:r>
      <w:r w:rsidRPr="003F7ADB">
        <w:lastRenderedPageBreak/>
        <w:t>veniva riconosciuto colpevole dei reati ascrittigli e condannato alla pena di … … …</w:t>
      </w:r>
    </w:p>
    <w:p w14:paraId="7BCBE394" w14:textId="77777777" w:rsidR="00510591" w:rsidRPr="003F7ADB" w:rsidRDefault="00510591" w:rsidP="006E1829">
      <w:pPr>
        <w:pStyle w:val="CapoversoAtti"/>
      </w:pPr>
    </w:p>
    <w:p w14:paraId="57E68EDD" w14:textId="77777777" w:rsidR="00510591" w:rsidRPr="003F7ADB" w:rsidRDefault="00510591" w:rsidP="006E1829">
      <w:pPr>
        <w:pStyle w:val="CapoversoAtti"/>
        <w:jc w:val="center"/>
        <w:rPr>
          <w:i/>
        </w:rPr>
      </w:pPr>
      <w:r w:rsidRPr="003F7ADB">
        <w:rPr>
          <w:i/>
        </w:rPr>
        <w:t>Motivi</w:t>
      </w:r>
    </w:p>
    <w:p w14:paraId="430395EB" w14:textId="77777777" w:rsidR="00510591" w:rsidRPr="003F7ADB" w:rsidRDefault="00510591" w:rsidP="006E1829">
      <w:pPr>
        <w:pStyle w:val="CapoversoAtti"/>
      </w:pPr>
    </w:p>
    <w:p w14:paraId="7B9B25D8" w14:textId="77777777" w:rsidR="00510591" w:rsidRPr="003F7ADB" w:rsidRDefault="00510591" w:rsidP="006E1829">
      <w:pPr>
        <w:pStyle w:val="CapoversoAtti"/>
      </w:pPr>
      <w:r w:rsidRPr="003F7ADB">
        <w:t>– motivo relativo al rito (es. nullità del giudizio di primo grado conseguente a … … …, declaratoria di non doversi procedere per tardività della querela)</w:t>
      </w:r>
    </w:p>
    <w:p w14:paraId="0A07C8A2" w14:textId="20227EBF" w:rsidR="00510591" w:rsidRPr="003F7ADB" w:rsidRDefault="00510591" w:rsidP="006E1829">
      <w:pPr>
        <w:pStyle w:val="CapoversoAtti"/>
      </w:pPr>
      <w:r w:rsidRPr="003F7ADB">
        <w:t>– motivi di merito … … …. (</w:t>
      </w:r>
      <w:proofErr w:type="gramStart"/>
      <w:r w:rsidRPr="003F7ADB">
        <w:t>es.</w:t>
      </w:r>
      <w:proofErr w:type="gramEnd"/>
      <w:r w:rsidRPr="003F7ADB">
        <w:t xml:space="preserve"> assoluzione </w:t>
      </w:r>
      <w:r w:rsidRPr="003F7ADB">
        <w:rPr>
          <w:snapToGrid w:val="0"/>
          <w:color w:val="000000"/>
          <w:u w:color="000000"/>
          <w:vertAlign w:val="superscript"/>
        </w:rPr>
        <w:footnoteReference w:id="6"/>
      </w:r>
      <w:r w:rsidRPr="003F7ADB">
        <w:t xml:space="preserve"> per non aver commesso il fatto; errore nell</w:t>
      </w:r>
      <w:r w:rsidR="00650B84" w:rsidRPr="003F7ADB">
        <w:t>’</w:t>
      </w:r>
      <w:r w:rsidRPr="003F7ADB">
        <w:t>applicazione e nel computo delle circostanze; eccessività della pena)</w:t>
      </w:r>
    </w:p>
    <w:p w14:paraId="077D12FA" w14:textId="77777777" w:rsidR="00650B84" w:rsidRPr="003F7ADB" w:rsidRDefault="00510591" w:rsidP="006E1829">
      <w:pPr>
        <w:pStyle w:val="CapoversoAtti"/>
      </w:pPr>
      <w:proofErr w:type="gramStart"/>
      <w:r w:rsidRPr="003F7ADB">
        <w:t>in</w:t>
      </w:r>
      <w:proofErr w:type="gramEnd"/>
      <w:r w:rsidRPr="003F7ADB">
        <w:t xml:space="preserve"> relazione a quanto precede,</w:t>
      </w:r>
    </w:p>
    <w:p w14:paraId="49C49512" w14:textId="77DD7FCF" w:rsidR="006E1829" w:rsidRPr="003F7ADB" w:rsidRDefault="006E1829" w:rsidP="006E1829">
      <w:pPr>
        <w:pStyle w:val="CapoversoAtti"/>
      </w:pPr>
    </w:p>
    <w:p w14:paraId="1597A0CB" w14:textId="77777777" w:rsidR="00510591" w:rsidRPr="003F7ADB" w:rsidRDefault="006E1829" w:rsidP="006E1829">
      <w:pPr>
        <w:pStyle w:val="CapoversoAtti"/>
        <w:jc w:val="center"/>
      </w:pPr>
      <w:proofErr w:type="gramStart"/>
      <w:r w:rsidRPr="003F7ADB">
        <w:t>chiede</w:t>
      </w:r>
      <w:proofErr w:type="gramEnd"/>
      <w:r w:rsidRPr="003F7ADB">
        <w:t>,</w:t>
      </w:r>
    </w:p>
    <w:p w14:paraId="750049A2" w14:textId="77777777" w:rsidR="006E1829" w:rsidRPr="003F7ADB" w:rsidRDefault="006E1829" w:rsidP="006E1829">
      <w:pPr>
        <w:pStyle w:val="CapoversoAtti"/>
      </w:pPr>
    </w:p>
    <w:p w14:paraId="46B1B311" w14:textId="77777777" w:rsidR="00650B84" w:rsidRPr="003F7ADB" w:rsidRDefault="00510591" w:rsidP="006E1829">
      <w:pPr>
        <w:pStyle w:val="CapoversoAtti"/>
      </w:pPr>
      <w:proofErr w:type="gramStart"/>
      <w:r w:rsidRPr="003F7ADB">
        <w:t>in</w:t>
      </w:r>
      <w:proofErr w:type="gramEnd"/>
      <w:r w:rsidRPr="003F7ADB">
        <w:t xml:space="preserve"> riforma dell</w:t>
      </w:r>
      <w:r w:rsidR="00650B84" w:rsidRPr="003F7ADB">
        <w:t>’</w:t>
      </w:r>
      <w:r w:rsidRPr="003F7ADB">
        <w:t>impugnata sentenza,</w:t>
      </w:r>
    </w:p>
    <w:p w14:paraId="1CBF7076" w14:textId="474F425D" w:rsidR="00650B84" w:rsidRPr="003F7ADB" w:rsidRDefault="00510591" w:rsidP="006E1829">
      <w:pPr>
        <w:pStyle w:val="CapoversoAtti"/>
      </w:pPr>
      <w:proofErr w:type="gramStart"/>
      <w:r w:rsidRPr="003F7ADB">
        <w:t>il</w:t>
      </w:r>
      <w:proofErr w:type="gramEnd"/>
      <w:r w:rsidRPr="003F7ADB">
        <w:t xml:space="preserve"> proscioglimento dell</w:t>
      </w:r>
      <w:r w:rsidR="00650B84" w:rsidRPr="003F7ADB">
        <w:t>’</w:t>
      </w:r>
      <w:r w:rsidRPr="003F7ADB">
        <w:t>imputato;</w:t>
      </w:r>
    </w:p>
    <w:p w14:paraId="63006BC4" w14:textId="23194D83" w:rsidR="00510591" w:rsidRPr="003F7ADB" w:rsidRDefault="00510591" w:rsidP="006E1829">
      <w:pPr>
        <w:pStyle w:val="CapoversoAtti"/>
      </w:pPr>
      <w:proofErr w:type="gramStart"/>
      <w:r w:rsidRPr="003F7ADB">
        <w:t>la</w:t>
      </w:r>
      <w:proofErr w:type="gramEnd"/>
      <w:r w:rsidRPr="003F7ADB">
        <w:t xml:space="preserve"> nullità della sentenza di primo grado</w:t>
      </w:r>
    </w:p>
    <w:p w14:paraId="2233356B" w14:textId="77777777" w:rsidR="00510591" w:rsidRPr="003F7ADB" w:rsidRDefault="00510591" w:rsidP="006E1829">
      <w:pPr>
        <w:pStyle w:val="CapoversoAtti"/>
      </w:pPr>
      <w:proofErr w:type="gramStart"/>
      <w:r w:rsidRPr="003F7ADB">
        <w:t>la</w:t>
      </w:r>
      <w:proofErr w:type="gramEnd"/>
      <w:r w:rsidRPr="003F7ADB">
        <w:t xml:space="preserve"> diversa qualificazione giuridica per un reato meno grave</w:t>
      </w:r>
    </w:p>
    <w:p w14:paraId="709A4109" w14:textId="77777777" w:rsidR="00650B84" w:rsidRPr="003F7ADB" w:rsidRDefault="00510591" w:rsidP="006E1829">
      <w:pPr>
        <w:pStyle w:val="CapoversoAtti"/>
      </w:pPr>
      <w:proofErr w:type="gramStart"/>
      <w:r w:rsidRPr="003F7ADB">
        <w:t>e</w:t>
      </w:r>
      <w:proofErr w:type="gramEnd"/>
      <w:r w:rsidRPr="003F7ADB">
        <w:t>/o la riduzione della pena per il diverso computo delle circostanze</w:t>
      </w:r>
    </w:p>
    <w:p w14:paraId="766ADBA9" w14:textId="77777777" w:rsidR="00650B84" w:rsidRPr="003F7ADB" w:rsidRDefault="00510591" w:rsidP="006E1829">
      <w:pPr>
        <w:pStyle w:val="CapoversoAtti"/>
      </w:pPr>
      <w:proofErr w:type="gramStart"/>
      <w:r w:rsidRPr="003F7ADB">
        <w:t>e</w:t>
      </w:r>
      <w:proofErr w:type="gramEnd"/>
      <w:r w:rsidRPr="003F7ADB">
        <w:t>/o la rideterminazione della pena inflitta</w:t>
      </w:r>
    </w:p>
    <w:p w14:paraId="4DE11B4D" w14:textId="2A2F5F61" w:rsidR="00510591" w:rsidRPr="003F7ADB" w:rsidRDefault="00510591" w:rsidP="006E1829">
      <w:pPr>
        <w:pStyle w:val="CapoversoAtti"/>
      </w:pPr>
    </w:p>
    <w:p w14:paraId="4FE12553" w14:textId="77777777" w:rsidR="00510591" w:rsidRPr="003F7ADB" w:rsidRDefault="00510591" w:rsidP="006E1829">
      <w:pPr>
        <w:pStyle w:val="CapoversoAtti"/>
      </w:pPr>
      <w:r w:rsidRPr="003F7ADB">
        <w:t>Luogo e data</w:t>
      </w:r>
    </w:p>
    <w:p w14:paraId="6AFE185C" w14:textId="0465C682" w:rsidR="00182A74" w:rsidRPr="00966FF8" w:rsidRDefault="00510591" w:rsidP="00A070F0">
      <w:pPr>
        <w:pStyle w:val="CapoversoAtti"/>
        <w:jc w:val="right"/>
        <w:rPr>
          <w:sz w:val="2"/>
          <w:szCs w:val="2"/>
        </w:rPr>
      </w:pPr>
      <w:r w:rsidRPr="003F7ADB">
        <w:t>Sottoscrizione del difensore</w:t>
      </w:r>
      <w:bookmarkStart w:id="0" w:name="_GoBack"/>
      <w:bookmarkEnd w:id="0"/>
    </w:p>
    <w:sectPr w:rsidR="00182A74" w:rsidRPr="00966FF8"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23AF00B5" w14:textId="61F1C38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Va ricordato, inoltre che il secondo comma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w:t>
      </w:r>
      <w:r w:rsidRPr="00666AE7">
        <w:rPr>
          <w:sz w:val="16"/>
          <w:szCs w:val="16"/>
        </w:rPr>
        <w:softHyphen/>
        <w:t>pu</w:t>
      </w:r>
      <w:r w:rsidRPr="00666AE7">
        <w:rPr>
          <w:sz w:val="16"/>
          <w:szCs w:val="16"/>
        </w:rPr>
        <w:softHyphen/>
        <w:t xml:space="preserve">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0BBAD734" w14:textId="36DBD9D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L’appello può essere proposto, oltre che dal difensore, personalmente dall’imputato o da un suo procuratore speciale (art. 571 c.p.p.). In quest’ultimo caso la procura deve essere conferita con i modi e le forme di cui all’art. 122 c.p.p.</w:t>
      </w:r>
    </w:p>
    <w:p w14:paraId="19DEA941" w14:textId="4A10F00D" w:rsidR="007C6801" w:rsidRPr="00666AE7" w:rsidRDefault="007C6801" w:rsidP="005A17E3">
      <w:pPr>
        <w:pStyle w:val="Testonotaapidipagina"/>
        <w:widowControl w:val="0"/>
        <w:spacing w:line="185" w:lineRule="exact"/>
        <w:ind w:firstLine="284"/>
        <w:jc w:val="both"/>
        <w:rPr>
          <w:sz w:val="16"/>
          <w:szCs w:val="16"/>
        </w:rPr>
      </w:pPr>
      <w:r w:rsidRPr="00666AE7">
        <w:rPr>
          <w:sz w:val="16"/>
          <w:szCs w:val="16"/>
        </w:rPr>
        <w:t>A seguito della modifica introdotta dalla l. n. 479 del 1999 all’art. 571, comma 3, c.p.p., in caso di sentenza contumaciale, il difensore può proporre impugnazione nell’interesse dell’imputato senza necessità di alcun specifico mandato.</w:t>
      </w:r>
    </w:p>
  </w:footnote>
  <w:footnote w:id="3">
    <w:p w14:paraId="0E0FE168" w14:textId="3C0A044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w:t>
      </w:r>
    </w:p>
    <w:p w14:paraId="12470E81" w14:textId="1CECB351" w:rsidR="007C6801" w:rsidRPr="00666AE7" w:rsidRDefault="007C6801" w:rsidP="005A17E3">
      <w:pPr>
        <w:pStyle w:val="Testonotaapidipagina"/>
        <w:widowControl w:val="0"/>
        <w:spacing w:line="185" w:lineRule="exact"/>
        <w:ind w:firstLine="284"/>
        <w:jc w:val="both"/>
        <w:rPr>
          <w:sz w:val="16"/>
          <w:szCs w:val="16"/>
        </w:rPr>
      </w:pPr>
      <w:r w:rsidRPr="00666AE7">
        <w:rPr>
          <w:sz w:val="16"/>
          <w:szCs w:val="16"/>
        </w:rPr>
        <w:t>Al riguardo, va ricordato che, ai sensi dell’art. 586 c.p.p., le ordinanze emesse nel corso degli atti preliminari ovvero nel dibattimento possono essere impugnate soltanto con l’impugnazione della sentenza.</w:t>
      </w:r>
    </w:p>
    <w:p w14:paraId="4B04156C" w14:textId="0A559F5E" w:rsidR="007C6801" w:rsidRPr="00666AE7" w:rsidRDefault="007C6801" w:rsidP="005A17E3">
      <w:pPr>
        <w:widowControl w:val="0"/>
        <w:spacing w:line="185" w:lineRule="exact"/>
        <w:ind w:firstLine="284"/>
        <w:jc w:val="both"/>
        <w:rPr>
          <w:spacing w:val="-2"/>
          <w:sz w:val="16"/>
          <w:szCs w:val="16"/>
        </w:rPr>
      </w:pPr>
      <w:r w:rsidRPr="00666AE7">
        <w:rPr>
          <w:spacing w:val="-2"/>
          <w:sz w:val="16"/>
          <w:szCs w:val="16"/>
        </w:rPr>
        <w:t>Tuttavia, poiché il nuovo codice non distingue più tra dichiarazione di impugnazione e motivi, compendiando il tutto in un unico atto, e poiché non si rende necessaria una formale dichiarazione con l’analitica indicazione degli elementi di cui all’art. 581 c.p.p., dovendosi invece dare prevalenza alla vo</w:t>
      </w:r>
      <w:r>
        <w:rPr>
          <w:spacing w:val="-2"/>
          <w:sz w:val="16"/>
          <w:szCs w:val="16"/>
        </w:rPr>
        <w:softHyphen/>
      </w:r>
      <w:r w:rsidRPr="00666AE7">
        <w:rPr>
          <w:spacing w:val="-2"/>
          <w:sz w:val="16"/>
          <w:szCs w:val="16"/>
        </w:rPr>
        <w:t>lontà manifestata dalla parte ed alla possibilità di individuare, comunque, il provvedimento che si è inteso impugnare, non è motivo di inammissibilità dell’impugnazione di una ordinanza dibattimentale la circostanza che nell’unico atto d’impugnazione proposto contro la sentenza manchi l’espressa dichiarazione di gravame anche dell’ordinanza, quando nello stesso venga denunciata l’illegittimità di questa con esposizione delle relative ragioni (</w:t>
      </w:r>
      <w:proofErr w:type="spellStart"/>
      <w:r w:rsidRPr="00666AE7">
        <w:rPr>
          <w:spacing w:val="-2"/>
          <w:sz w:val="16"/>
          <w:szCs w:val="16"/>
        </w:rPr>
        <w:t>Cass</w:t>
      </w:r>
      <w:proofErr w:type="spellEnd"/>
      <w:r w:rsidRPr="00666AE7">
        <w:rPr>
          <w:spacing w:val="-2"/>
          <w:sz w:val="16"/>
          <w:szCs w:val="16"/>
        </w:rPr>
        <w:t xml:space="preserve">., sez. IV, 17 giugno 1997, Mazza, </w:t>
      </w:r>
      <w:r w:rsidRPr="00666AE7">
        <w:rPr>
          <w:i/>
          <w:spacing w:val="-2"/>
          <w:sz w:val="16"/>
          <w:szCs w:val="16"/>
        </w:rPr>
        <w:t xml:space="preserve">CED </w:t>
      </w:r>
      <w:proofErr w:type="spellStart"/>
      <w:r w:rsidRPr="00666AE7">
        <w:rPr>
          <w:i/>
          <w:spacing w:val="-2"/>
          <w:sz w:val="16"/>
          <w:szCs w:val="16"/>
        </w:rPr>
        <w:t>Cass</w:t>
      </w:r>
      <w:proofErr w:type="spellEnd"/>
      <w:r w:rsidRPr="00666AE7">
        <w:rPr>
          <w:spacing w:val="-2"/>
          <w:sz w:val="16"/>
          <w:szCs w:val="16"/>
        </w:rPr>
        <w:t xml:space="preserve">., 207807). </w:t>
      </w:r>
    </w:p>
  </w:footnote>
  <w:footnote w:id="4">
    <w:p w14:paraId="76B6B0AA" w14:textId="2F7D7BCC"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 Giudice dell’Udienza Preliminare di … … …; Corte di assise di … … …; Giudice di pace di … … …</w:t>
      </w:r>
    </w:p>
  </w:footnote>
  <w:footnote w:id="5">
    <w:p w14:paraId="59A46131" w14:textId="7617CDFC"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z w:val="16"/>
          <w:szCs w:val="16"/>
        </w:rPr>
        <w:t>Giudice</w:t>
      </w:r>
      <w:r w:rsidRPr="00666AE7">
        <w:rPr>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w:t>
      </w:r>
      <w:r>
        <w:rPr>
          <w:sz w:val="16"/>
          <w:szCs w:val="16"/>
        </w:rPr>
        <w:softHyphen/>
      </w:r>
      <w:r w:rsidRPr="00666AE7">
        <w:rPr>
          <w:sz w:val="16"/>
          <w:szCs w:val="16"/>
        </w:rPr>
        <w:t>l’impugnazione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 7 ottobre 1997, </w:t>
      </w:r>
      <w:proofErr w:type="spellStart"/>
      <w:r w:rsidRPr="00666AE7">
        <w:rPr>
          <w:sz w:val="16"/>
          <w:szCs w:val="16"/>
        </w:rPr>
        <w:t>Aloi</w:t>
      </w:r>
      <w:proofErr w:type="spellEnd"/>
      <w:r w:rsidRPr="00666AE7">
        <w:rPr>
          <w:sz w:val="16"/>
          <w:szCs w:val="16"/>
        </w:rPr>
        <w:t xml:space="preserve">, </w:t>
      </w:r>
      <w:proofErr w:type="spellStart"/>
      <w:r w:rsidRPr="00666AE7">
        <w:rPr>
          <w:i/>
          <w:sz w:val="16"/>
          <w:szCs w:val="16"/>
        </w:rPr>
        <w:t>Cass</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1998, 2061).</w:t>
      </w:r>
    </w:p>
  </w:footnote>
  <w:footnote w:id="6">
    <w:p w14:paraId="12318353" w14:textId="4572F85E" w:rsidR="007C6801" w:rsidRPr="00666AE7" w:rsidRDefault="007C6801" w:rsidP="005A17E3">
      <w:pPr>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 xml:space="preserve">Occorre ricordare (vedi Quadro essenziale § V, 1) che, nell’ipotesi di sentenza plurima, </w:t>
      </w:r>
      <w:proofErr w:type="spellStart"/>
      <w:r w:rsidRPr="00666AE7">
        <w:rPr>
          <w:spacing w:val="-2"/>
          <w:sz w:val="16"/>
          <w:szCs w:val="16"/>
        </w:rPr>
        <w:t>qual’è</w:t>
      </w:r>
      <w:proofErr w:type="spellEnd"/>
      <w:r w:rsidRPr="00666AE7">
        <w:rPr>
          <w:spacing w:val="-2"/>
          <w:sz w:val="16"/>
          <w:szCs w:val="16"/>
        </w:rPr>
        <w:t xml:space="preserve"> quella che decide su più capi di imputazione, il gravame è da intendersi limitato ai soli capi che hanno formato oggetto di valida impugnativa, mentre per gli altri capi non impugnati e non legati ai primi da vincolo di connessione essenziale, la vicenda processuale deve ritenersi conclusa: con la conseguenza che, con riferimento a questi, non possono rilevarsi nemmeno le cause di non punibilità di cui all’art. 129 c.p.p. (</w:t>
      </w:r>
      <w:proofErr w:type="spellStart"/>
      <w:r w:rsidRPr="00666AE7">
        <w:rPr>
          <w:spacing w:val="-2"/>
          <w:sz w:val="16"/>
          <w:szCs w:val="16"/>
        </w:rPr>
        <w:t>Cass</w:t>
      </w:r>
      <w:proofErr w:type="spellEnd"/>
      <w:r w:rsidRPr="00666AE7">
        <w:rPr>
          <w:spacing w:val="-2"/>
          <w:sz w:val="16"/>
          <w:szCs w:val="16"/>
        </w:rPr>
        <w:t xml:space="preserve">., sez. II, 13 febbraio 1997, Mazza, </w:t>
      </w:r>
      <w:r w:rsidRPr="00666AE7">
        <w:rPr>
          <w:i/>
          <w:spacing w:val="-2"/>
          <w:sz w:val="16"/>
          <w:szCs w:val="16"/>
        </w:rPr>
        <w:t xml:space="preserve">CED </w:t>
      </w:r>
      <w:proofErr w:type="spellStart"/>
      <w:r w:rsidRPr="00666AE7">
        <w:rPr>
          <w:i/>
          <w:spacing w:val="-2"/>
          <w:sz w:val="16"/>
          <w:szCs w:val="16"/>
        </w:rPr>
        <w:t>Cass</w:t>
      </w:r>
      <w:proofErr w:type="spellEnd"/>
      <w:r w:rsidRPr="00666AE7">
        <w:rPr>
          <w:spacing w:val="-2"/>
          <w:sz w:val="16"/>
          <w:szCs w:val="16"/>
        </w:rPr>
        <w:t xml:space="preserve">., 207126). </w:t>
      </w:r>
    </w:p>
    <w:p w14:paraId="1087B78F" w14:textId="47E205C3" w:rsidR="007C6801" w:rsidRPr="00666AE7" w:rsidRDefault="007C6801" w:rsidP="005A17E3">
      <w:pPr>
        <w:widowControl w:val="0"/>
        <w:spacing w:line="185" w:lineRule="exact"/>
        <w:ind w:firstLine="284"/>
        <w:jc w:val="both"/>
        <w:rPr>
          <w:spacing w:val="-1"/>
          <w:sz w:val="16"/>
          <w:szCs w:val="16"/>
        </w:rPr>
      </w:pPr>
      <w:r w:rsidRPr="00666AE7">
        <w:rPr>
          <w:spacing w:val="-1"/>
          <w:sz w:val="16"/>
          <w:szCs w:val="16"/>
        </w:rPr>
        <w:t xml:space="preserve">Tuttavia, non può essere considerata inosservanza dell’art. 581 c.p.p., causa d’inammissibilità </w:t>
      </w:r>
      <w:r w:rsidRPr="00666AE7">
        <w:rPr>
          <w:i/>
          <w:spacing w:val="-1"/>
          <w:sz w:val="16"/>
          <w:szCs w:val="16"/>
        </w:rPr>
        <w:t>ex</w:t>
      </w:r>
      <w:r w:rsidRPr="00666AE7">
        <w:rPr>
          <w:spacing w:val="-1"/>
          <w:sz w:val="16"/>
          <w:szCs w:val="16"/>
        </w:rPr>
        <w:t xml:space="preserve"> art. 591 c.p.p., l’errata o l’omessa indicazione del capo della sentenza che s’intende impugnare ogni volta che tale capo possa essere agevolmente identificato attraverso la lettura dei motivi di gravame. Questi, infatti, costituiscono parte integrante dell’atto d’impugnazione e, quindi, concorrono efficacemente a delinearne il reale contenuto (</w:t>
      </w:r>
      <w:proofErr w:type="spellStart"/>
      <w:proofErr w:type="gramStart"/>
      <w:r w:rsidRPr="00666AE7">
        <w:rPr>
          <w:spacing w:val="-1"/>
          <w:sz w:val="16"/>
          <w:szCs w:val="16"/>
        </w:rPr>
        <w:t>Cass</w:t>
      </w:r>
      <w:proofErr w:type="spellEnd"/>
      <w:r w:rsidRPr="00666AE7">
        <w:rPr>
          <w:spacing w:val="-1"/>
          <w:sz w:val="16"/>
          <w:szCs w:val="16"/>
        </w:rPr>
        <w:t>.,</w:t>
      </w:r>
      <w:proofErr w:type="gramEnd"/>
      <w:r w:rsidRPr="00666AE7">
        <w:rPr>
          <w:spacing w:val="-1"/>
          <w:sz w:val="16"/>
          <w:szCs w:val="16"/>
        </w:rPr>
        <w:t xml:space="preserve"> sez. VI, 8 febbraio 1994, Marongiu, </w:t>
      </w:r>
      <w:r w:rsidRPr="00666AE7">
        <w:rPr>
          <w:i/>
          <w:spacing w:val="-1"/>
          <w:sz w:val="16"/>
          <w:szCs w:val="16"/>
        </w:rPr>
        <w:t xml:space="preserve">CED </w:t>
      </w:r>
      <w:proofErr w:type="spellStart"/>
      <w:r w:rsidRPr="00666AE7">
        <w:rPr>
          <w:i/>
          <w:spacing w:val="-1"/>
          <w:sz w:val="16"/>
          <w:szCs w:val="16"/>
        </w:rPr>
        <w:t>Cass</w:t>
      </w:r>
      <w:proofErr w:type="spellEnd"/>
      <w:r w:rsidRPr="00666AE7">
        <w:rPr>
          <w:spacing w:val="-1"/>
          <w:sz w:val="16"/>
          <w:szCs w:val="16"/>
        </w:rPr>
        <w:t xml:space="preserve">., 197180).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0F0"/>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072D-0413-4CD3-93A8-C3C9320F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165</Words>
  <Characters>941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2016-06-01T14:07:00Z</dcterms:modified>
</cp:coreProperties>
</file>