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5D86E" w14:textId="7ED83D0F" w:rsidR="00510591" w:rsidRPr="003F7ADB" w:rsidRDefault="00510591" w:rsidP="005A17E3">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1546" w:rsidRPr="003F7ADB" w14:paraId="3FD53605" w14:textId="77777777" w:rsidTr="00FA09A5">
        <w:tc>
          <w:tcPr>
            <w:tcW w:w="537" w:type="dxa"/>
            <w:tcBorders>
              <w:bottom w:val="single" w:sz="4" w:space="0" w:color="5F5F5F"/>
              <w:right w:val="single" w:sz="4" w:space="0" w:color="5F5F5F"/>
            </w:tcBorders>
            <w:shd w:val="clear" w:color="auto" w:fill="auto"/>
            <w:vAlign w:val="center"/>
          </w:tcPr>
          <w:p w14:paraId="201CCC4E" w14:textId="5B3B55F3" w:rsidR="00DF1546" w:rsidRPr="003F7ADB" w:rsidRDefault="00BE6BE0" w:rsidP="007C6801">
            <w:pPr>
              <w:pStyle w:val="DicituraAtto"/>
            </w:pPr>
            <w:r w:rsidRPr="003F7ADB">
              <w:t>3</w:t>
            </w:r>
            <w:r w:rsidR="007C6801" w:rsidRPr="003F7ADB">
              <w:t>30</w:t>
            </w:r>
          </w:p>
        </w:tc>
        <w:tc>
          <w:tcPr>
            <w:tcW w:w="5984" w:type="dxa"/>
            <w:tcBorders>
              <w:left w:val="single" w:sz="4" w:space="0" w:color="5F5F5F"/>
              <w:bottom w:val="single" w:sz="4" w:space="0" w:color="5F5F5F"/>
            </w:tcBorders>
          </w:tcPr>
          <w:p w14:paraId="0BD685BC"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0581CDBD" w14:textId="77777777" w:rsidTr="00FA09A5">
        <w:trPr>
          <w:trHeight w:val="352"/>
        </w:trPr>
        <w:tc>
          <w:tcPr>
            <w:tcW w:w="537" w:type="dxa"/>
            <w:tcBorders>
              <w:top w:val="single" w:sz="4" w:space="0" w:color="5F5F5F"/>
              <w:right w:val="single" w:sz="4" w:space="0" w:color="5F5F5F"/>
            </w:tcBorders>
            <w:vAlign w:val="center"/>
          </w:tcPr>
          <w:p w14:paraId="7186248C"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4234FAAE" w14:textId="77777777" w:rsidR="00DF1546" w:rsidRPr="003F7ADB" w:rsidRDefault="00FA09A5" w:rsidP="00FA09A5">
            <w:pPr>
              <w:pStyle w:val="TitoloAtto"/>
            </w:pPr>
            <w:r w:rsidRPr="003F7ADB">
              <w:t>Appello del responsabile civile</w:t>
            </w:r>
            <w:r w:rsidRPr="003F7ADB">
              <w:rPr>
                <w:snapToGrid w:val="0"/>
                <w:color w:val="000000"/>
                <w:u w:color="000000"/>
              </w:rPr>
              <w:t> </w:t>
            </w:r>
            <w:r w:rsidRPr="003F7ADB">
              <w:rPr>
                <w:snapToGrid w:val="0"/>
                <w:color w:val="000000"/>
                <w:u w:color="000000"/>
                <w:vertAlign w:val="superscript"/>
              </w:rPr>
              <w:footnoteReference w:id="1"/>
            </w:r>
          </w:p>
        </w:tc>
      </w:tr>
    </w:tbl>
    <w:p w14:paraId="5FBE8E0C" w14:textId="77777777" w:rsidR="00510591" w:rsidRPr="003F7ADB" w:rsidRDefault="00510591" w:rsidP="00FA09A5">
      <w:pPr>
        <w:pStyle w:val="CapoversoAtti"/>
      </w:pPr>
    </w:p>
    <w:p w14:paraId="2C5C39A7" w14:textId="77777777" w:rsidR="00510591" w:rsidRPr="003F7ADB" w:rsidRDefault="00510591" w:rsidP="00FA09A5">
      <w:pPr>
        <w:pStyle w:val="CapoversoAtti"/>
      </w:pPr>
    </w:p>
    <w:p w14:paraId="691C8698" w14:textId="77777777" w:rsidR="00FA09A5" w:rsidRPr="003F7ADB" w:rsidRDefault="00FA09A5" w:rsidP="00FA09A5">
      <w:pPr>
        <w:pStyle w:val="CapoversoAtti"/>
      </w:pPr>
    </w:p>
    <w:p w14:paraId="066467A3" w14:textId="4DAD7B5C" w:rsidR="00510591" w:rsidRPr="003F7ADB" w:rsidRDefault="005241E9" w:rsidP="00FA09A5">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2"/>
      </w:r>
    </w:p>
    <w:p w14:paraId="54E899B4" w14:textId="77777777" w:rsidR="00510591" w:rsidRPr="003F7ADB" w:rsidRDefault="00510591" w:rsidP="00FA09A5">
      <w:pPr>
        <w:pStyle w:val="CapoversoAtti"/>
      </w:pPr>
    </w:p>
    <w:p w14:paraId="7A5D5EC9" w14:textId="77777777" w:rsidR="00510591" w:rsidRPr="003F7ADB" w:rsidRDefault="00510591" w:rsidP="00FA09A5">
      <w:pPr>
        <w:pStyle w:val="CapoversoAtti"/>
      </w:pPr>
    </w:p>
    <w:p w14:paraId="6B0A4166" w14:textId="674B5011" w:rsidR="00510591" w:rsidRPr="003F7ADB" w:rsidRDefault="00510591" w:rsidP="00FA09A5">
      <w:pPr>
        <w:pStyle w:val="CapoversoAtti"/>
      </w:pPr>
      <w:r w:rsidRPr="003F7ADB">
        <w:t xml:space="preserve">Il sottoscritto Avv. … … … difensore e procuratore </w:t>
      </w:r>
      <w:proofErr w:type="gramStart"/>
      <w:r w:rsidRPr="003F7ADB">
        <w:t>speciale</w:t>
      </w:r>
      <w:r w:rsidRPr="003F7ADB">
        <w:rPr>
          <w:snapToGrid w:val="0"/>
          <w:color w:val="000000"/>
          <w:u w:color="000000"/>
        </w:rPr>
        <w:t> </w:t>
      </w:r>
      <w:r w:rsidRPr="003F7ADB">
        <w:rPr>
          <w:snapToGrid w:val="0"/>
          <w:color w:val="000000"/>
          <w:u w:color="000000"/>
          <w:vertAlign w:val="superscript"/>
        </w:rPr>
        <w:footnoteReference w:id="3"/>
      </w:r>
      <w:r w:rsidRPr="003F7ADB">
        <w:t xml:space="preserve"> di</w:t>
      </w:r>
      <w:proofErr w:type="gramEnd"/>
      <w:r w:rsidRPr="003F7ADB">
        <w:t xml:space="preserve"> … … …, responsabile civile costituito nel procedimento penale n. ... ... … dichiara di proporre </w:t>
      </w:r>
      <w:r w:rsidRPr="003F7ADB">
        <w:rPr>
          <w:spacing w:val="4"/>
        </w:rPr>
        <w:t>appello avverso</w:t>
      </w:r>
      <w:r w:rsidRPr="003F7ADB">
        <w:rPr>
          <w:snapToGrid w:val="0"/>
          <w:color w:val="000000"/>
          <w:spacing w:val="4"/>
          <w:u w:color="000000"/>
        </w:rPr>
        <w:t> </w:t>
      </w:r>
      <w:r w:rsidRPr="003F7ADB">
        <w:rPr>
          <w:snapToGrid w:val="0"/>
          <w:color w:val="000000"/>
          <w:spacing w:val="4"/>
          <w:u w:color="000000"/>
          <w:vertAlign w:val="superscript"/>
        </w:rPr>
        <w:footnoteReference w:id="4"/>
      </w:r>
      <w:r w:rsidRPr="003F7ADB">
        <w:rPr>
          <w:spacing w:val="4"/>
        </w:rPr>
        <w:t xml:space="preserve"> la sentenza emessa dal </w:t>
      </w:r>
      <w:r w:rsidR="005241E9" w:rsidRPr="003F7ADB">
        <w:rPr>
          <w:spacing w:val="4"/>
        </w:rPr>
        <w:t>Tribunale</w:t>
      </w:r>
      <w:r w:rsidRPr="003F7ADB">
        <w:rPr>
          <w:snapToGrid w:val="0"/>
          <w:color w:val="000000"/>
          <w:spacing w:val="4"/>
          <w:u w:color="000000"/>
        </w:rPr>
        <w:t> </w:t>
      </w:r>
      <w:r w:rsidRPr="003F7ADB">
        <w:rPr>
          <w:snapToGrid w:val="0"/>
          <w:color w:val="000000"/>
          <w:spacing w:val="4"/>
          <w:u w:color="000000"/>
          <w:vertAlign w:val="superscript"/>
        </w:rPr>
        <w:footnoteReference w:id="5"/>
      </w:r>
      <w:r w:rsidRPr="003F7ADB">
        <w:rPr>
          <w:spacing w:val="4"/>
        </w:rPr>
        <w:t xml:space="preserve"> di</w:t>
      </w:r>
      <w:r w:rsidR="00BE6BE0" w:rsidRPr="003F7ADB">
        <w:rPr>
          <w:spacing w:val="4"/>
        </w:rPr>
        <w:t xml:space="preserve"> …</w:t>
      </w:r>
      <w:r w:rsidRPr="003F7ADB">
        <w:rPr>
          <w:spacing w:val="4"/>
        </w:rPr>
        <w:t xml:space="preserve"> … … … in da</w:t>
      </w:r>
      <w:r w:rsidR="00BE6BE0" w:rsidRPr="003F7ADB">
        <w:rPr>
          <w:spacing w:val="4"/>
        </w:rPr>
        <w:softHyphen/>
      </w:r>
      <w:r w:rsidRPr="003F7ADB">
        <w:rPr>
          <w:spacing w:val="4"/>
        </w:rPr>
        <w:t>ta</w:t>
      </w:r>
      <w:r w:rsidRPr="003F7ADB">
        <w:t xml:space="preserve"> …/…/…</w:t>
      </w:r>
      <w:r w:rsidRPr="003F7ADB">
        <w:rPr>
          <w:snapToGrid w:val="0"/>
          <w:color w:val="000000"/>
          <w:u w:color="000000"/>
        </w:rPr>
        <w:t> </w:t>
      </w:r>
      <w:r w:rsidRPr="003F7ADB">
        <w:rPr>
          <w:snapToGrid w:val="0"/>
          <w:color w:val="000000"/>
          <w:u w:color="000000"/>
          <w:vertAlign w:val="superscript"/>
        </w:rPr>
        <w:footnoteReference w:id="6"/>
      </w:r>
      <w:r w:rsidRPr="003F7ADB">
        <w:t>, con la quale veniva condannato in solido con l</w:t>
      </w:r>
      <w:r w:rsidR="00650B84" w:rsidRPr="003F7ADB">
        <w:t>’</w:t>
      </w:r>
      <w:r w:rsidRPr="003F7ADB">
        <w:t xml:space="preserve">imputato, riconosciuto </w:t>
      </w:r>
      <w:r w:rsidRPr="003F7ADB">
        <w:lastRenderedPageBreak/>
        <w:t>responsabile dei reati ascrittigli, al risarcimento dei danni in favore della parte civile</w:t>
      </w:r>
      <w:r w:rsidRPr="003F7ADB">
        <w:rPr>
          <w:snapToGrid w:val="0"/>
          <w:color w:val="000000"/>
          <w:u w:color="000000"/>
        </w:rPr>
        <w:t> </w:t>
      </w:r>
      <w:r w:rsidRPr="003F7ADB">
        <w:rPr>
          <w:snapToGrid w:val="0"/>
          <w:color w:val="000000"/>
          <w:u w:color="000000"/>
          <w:vertAlign w:val="superscript"/>
        </w:rPr>
        <w:footnoteReference w:id="7"/>
      </w:r>
    </w:p>
    <w:p w14:paraId="037BD3FB" w14:textId="77777777" w:rsidR="00510591" w:rsidRPr="003F7ADB" w:rsidRDefault="00510591" w:rsidP="00FA09A5">
      <w:pPr>
        <w:pStyle w:val="CapoversoAtti"/>
      </w:pPr>
    </w:p>
    <w:p w14:paraId="407FE347" w14:textId="77777777" w:rsidR="00FA09A5" w:rsidRPr="003F7ADB" w:rsidRDefault="00FA09A5" w:rsidP="00FA09A5">
      <w:pPr>
        <w:pStyle w:val="CapoversoAtti"/>
      </w:pPr>
    </w:p>
    <w:p w14:paraId="053F033F" w14:textId="77777777" w:rsidR="00510591" w:rsidRPr="003F7ADB" w:rsidRDefault="00510591" w:rsidP="00FA09A5">
      <w:pPr>
        <w:pStyle w:val="CapoversoAtti"/>
        <w:jc w:val="center"/>
        <w:rPr>
          <w:i/>
        </w:rPr>
      </w:pPr>
      <w:r w:rsidRPr="003F7ADB">
        <w:rPr>
          <w:i/>
        </w:rPr>
        <w:t>Motivi</w:t>
      </w:r>
    </w:p>
    <w:p w14:paraId="5D6C434E" w14:textId="77777777" w:rsidR="00510591" w:rsidRPr="003F7ADB" w:rsidRDefault="00510591" w:rsidP="00FA09A5">
      <w:pPr>
        <w:pStyle w:val="CapoversoAtti"/>
      </w:pPr>
    </w:p>
    <w:p w14:paraId="1D5EE2C0" w14:textId="30753F63" w:rsidR="00510591" w:rsidRPr="003F7ADB" w:rsidRDefault="006D6F7C" w:rsidP="006D6F7C">
      <w:pPr>
        <w:pStyle w:val="CapoversoAtti"/>
      </w:pPr>
      <w:r w:rsidRPr="003F7ADB">
        <w:t xml:space="preserve">1. </w:t>
      </w:r>
      <w:r w:rsidR="00510591" w:rsidRPr="003F7ADB">
        <w:t>Motivo relativo al rito … … … (es. nullità della citazione ai sensi dell</w:t>
      </w:r>
      <w:r w:rsidR="00650B84" w:rsidRPr="003F7ADB">
        <w:t>’</w:t>
      </w:r>
      <w:r w:rsidR="00510591" w:rsidRPr="003F7ADB">
        <w:t>art. 83, comma 5, c.p.p.)</w:t>
      </w:r>
    </w:p>
    <w:p w14:paraId="6B426B3C" w14:textId="77777777" w:rsidR="006D6F7C" w:rsidRPr="003F7ADB" w:rsidRDefault="006D6F7C" w:rsidP="006D6F7C">
      <w:pPr>
        <w:pStyle w:val="CapoversoAtti"/>
      </w:pPr>
    </w:p>
    <w:p w14:paraId="5C2DAA4D" w14:textId="2C97BC94" w:rsidR="00510591" w:rsidRPr="003F7ADB" w:rsidRDefault="00510591" w:rsidP="00FA09A5">
      <w:pPr>
        <w:pStyle w:val="CapoversoAtti"/>
      </w:pPr>
      <w:r w:rsidRPr="003F7ADB">
        <w:t>2. Motivi di merito … … … (es. assoluzione per non aver l</w:t>
      </w:r>
      <w:r w:rsidR="00650B84" w:rsidRPr="003F7ADB">
        <w:t>’</w:t>
      </w:r>
      <w:r w:rsidRPr="003F7ADB">
        <w:t>imputato commesso il fatto)</w:t>
      </w:r>
    </w:p>
    <w:p w14:paraId="7C810996" w14:textId="77777777" w:rsidR="006D6F7C" w:rsidRPr="003F7ADB" w:rsidRDefault="006D6F7C" w:rsidP="00FA09A5">
      <w:pPr>
        <w:pStyle w:val="CapoversoAtti"/>
      </w:pPr>
    </w:p>
    <w:p w14:paraId="5EEB41E9" w14:textId="77777777" w:rsidR="00510591" w:rsidRPr="003F7ADB" w:rsidRDefault="00510591" w:rsidP="00FA09A5">
      <w:pPr>
        <w:pStyle w:val="CapoversoAtti"/>
      </w:pPr>
      <w:r w:rsidRPr="003F7ADB">
        <w:t>3. Eccessiva quantificazione del danno … … …</w:t>
      </w:r>
    </w:p>
    <w:p w14:paraId="7D59BEA4" w14:textId="77777777" w:rsidR="006D6F7C" w:rsidRPr="003F7ADB" w:rsidRDefault="006D6F7C" w:rsidP="00FA09A5">
      <w:pPr>
        <w:pStyle w:val="CapoversoAtti"/>
      </w:pPr>
    </w:p>
    <w:p w14:paraId="024C5DBE" w14:textId="1C5C2AD4" w:rsidR="00510591" w:rsidRPr="003F7ADB" w:rsidRDefault="00510591" w:rsidP="00FA09A5">
      <w:pPr>
        <w:pStyle w:val="CapoversoAtti"/>
      </w:pPr>
      <w:proofErr w:type="gramStart"/>
      <w:r w:rsidRPr="003F7ADB">
        <w:t>in</w:t>
      </w:r>
      <w:proofErr w:type="gramEnd"/>
      <w:r w:rsidRPr="003F7ADB">
        <w:t xml:space="preserve"> relazione a quanto precede, chiede in via principale, l</w:t>
      </w:r>
      <w:r w:rsidR="00650B84" w:rsidRPr="003F7ADB">
        <w:t>’</w:t>
      </w:r>
      <w:r w:rsidRPr="003F7ADB">
        <w:t>esclusione dal processo del responsabile civile o, in riforma della sentenza impugnata, l</w:t>
      </w:r>
      <w:r w:rsidR="00650B84" w:rsidRPr="003F7ADB">
        <w:t>’</w:t>
      </w:r>
      <w:r w:rsidRPr="003F7ADB">
        <w:t>assoluzione del</w:t>
      </w:r>
      <w:r w:rsidR="00BE6BE0" w:rsidRPr="003F7ADB">
        <w:softHyphen/>
      </w:r>
      <w:r w:rsidRPr="003F7ADB">
        <w:t>l</w:t>
      </w:r>
      <w:r w:rsidR="00650B84" w:rsidRPr="003F7ADB">
        <w:t>’</w:t>
      </w:r>
      <w:r w:rsidRPr="003F7ADB">
        <w:t>imputato per non aver commesso il fatto; in subordine, la riduzione della misura del risarcimento del danno riconosciuto alla parte civile.</w:t>
      </w:r>
    </w:p>
    <w:p w14:paraId="46B4EA2F" w14:textId="77777777" w:rsidR="00510591" w:rsidRPr="003F7ADB" w:rsidRDefault="00510591" w:rsidP="00FA09A5">
      <w:pPr>
        <w:pStyle w:val="CapoversoAtti"/>
      </w:pPr>
    </w:p>
    <w:p w14:paraId="2588F4B4" w14:textId="77777777" w:rsidR="00510591" w:rsidRPr="003F7ADB" w:rsidRDefault="00510591" w:rsidP="00FA09A5">
      <w:pPr>
        <w:pStyle w:val="CapoversoAtti"/>
      </w:pPr>
      <w:r w:rsidRPr="003F7ADB">
        <w:t>Luogo e data</w:t>
      </w:r>
    </w:p>
    <w:p w14:paraId="12206FE4" w14:textId="77777777" w:rsidR="00510591" w:rsidRPr="003F7ADB" w:rsidRDefault="00510591" w:rsidP="00FA09A5">
      <w:pPr>
        <w:pStyle w:val="CapoversoAtti"/>
        <w:jc w:val="right"/>
      </w:pPr>
      <w:r w:rsidRPr="003F7ADB">
        <w:t>Sottoscrizione del difensore</w:t>
      </w:r>
      <w:bookmarkStart w:id="0" w:name="_GoBack"/>
      <w:bookmarkEnd w:id="0"/>
    </w:p>
    <w:sectPr w:rsidR="00510591" w:rsidRPr="003F7ADB"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64AF9401" w14:textId="59480582" w:rsidR="007C6801" w:rsidRPr="00666AE7" w:rsidRDefault="007C6801" w:rsidP="00FA09A5">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L’interesse del responsabile civile all’impugnazione sussiste, oltre che in relazione alle disposizioni civili della sentenza, anche con riferimento alle disposizioni riguardanti la responsabilità del</w:t>
      </w:r>
      <w:r>
        <w:rPr>
          <w:sz w:val="16"/>
          <w:szCs w:val="16"/>
        </w:rPr>
        <w:softHyphen/>
      </w:r>
      <w:r w:rsidRPr="00666AE7">
        <w:rPr>
          <w:sz w:val="16"/>
          <w:szCs w:val="16"/>
        </w:rPr>
        <w:t>l’imputato, in considerazione dell’efficacia che queste, una volta passate in giudicato, spiegano nel giudizio civile o amministrativo promosso per le restituzioni ed il risarcimento del danno (art. 651 c.p.p.) ovvero in quelli contemplati dall’art. 654 c.p.p.</w:t>
      </w:r>
    </w:p>
  </w:footnote>
  <w:footnote w:id="2">
    <w:p w14:paraId="3ECDDB21" w14:textId="2D575558"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D6675A">
        <w:rPr>
          <w:sz w:val="16"/>
          <w:szCs w:val="16"/>
        </w:rPr>
        <w:t>G</w:t>
      </w:r>
      <w:r w:rsidRPr="00666AE7">
        <w:rPr>
          <w:sz w:val="16"/>
          <w:szCs w:val="16"/>
        </w:rPr>
        <w:t xml:space="preserve">iudice che ha emesso il provvedimento impugnato. Va ricordato, inoltre che il secondo comma della norma in commento consente la presentazione dell’atto di impugnazione anche nella cancelleria del </w:t>
      </w:r>
      <w:r w:rsidR="00D6675A">
        <w:rPr>
          <w:sz w:val="16"/>
          <w:szCs w:val="16"/>
        </w:rPr>
        <w:t>T</w:t>
      </w:r>
      <w:r w:rsidRPr="00666AE7">
        <w:rPr>
          <w:sz w:val="16"/>
          <w:szCs w:val="16"/>
        </w:rPr>
        <w:t xml:space="preserve">ribunale o del </w:t>
      </w:r>
      <w:r w:rsidR="00D6675A">
        <w:rPr>
          <w:sz w:val="16"/>
          <w:szCs w:val="16"/>
        </w:rPr>
        <w:t>G</w:t>
      </w:r>
      <w:r w:rsidRPr="00666AE7">
        <w:rPr>
          <w:sz w:val="16"/>
          <w:szCs w:val="16"/>
        </w:rPr>
        <w:t xml:space="preserve">iudice di pace del luogo in cui si trovano le parti legittimate, qualora tale luogo sia diverso da quello in cui ha sede il </w:t>
      </w:r>
      <w:r w:rsidR="00A4007F">
        <w:rPr>
          <w:sz w:val="16"/>
          <w:szCs w:val="16"/>
        </w:rPr>
        <w:t>Giudice</w:t>
      </w:r>
      <w:r w:rsidRPr="00666AE7">
        <w:rPr>
          <w:sz w:val="16"/>
          <w:szCs w:val="16"/>
        </w:rPr>
        <w:t xml:space="preserve"> che ha emesso il provvedimento, ovvero, in caso di presenza all’estero, presso il locale consolato. Ulteriore modalità di presentazione dell’impugnazione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3">
    <w:p w14:paraId="7A5C68FC" w14:textId="6CFDFC0C" w:rsidR="007C6801" w:rsidRPr="00666AE7" w:rsidRDefault="007C6801" w:rsidP="005A17E3">
      <w:pPr>
        <w:widowControl w:val="0"/>
        <w:spacing w:before="60" w:line="185" w:lineRule="exact"/>
        <w:ind w:firstLine="284"/>
        <w:jc w:val="both"/>
        <w:rPr>
          <w:spacing w:val="-2"/>
          <w:sz w:val="16"/>
          <w:szCs w:val="16"/>
        </w:rPr>
      </w:pPr>
      <w:r w:rsidRPr="00666AE7">
        <w:rPr>
          <w:rStyle w:val="Rimandonotaapidipagina"/>
          <w:snapToGrid w:val="0"/>
          <w:spacing w:val="-2"/>
          <w:sz w:val="16"/>
          <w:szCs w:val="16"/>
          <w:u w:color="000000"/>
        </w:rPr>
        <w:footnoteRef/>
      </w:r>
      <w:r w:rsidRPr="00666AE7">
        <w:rPr>
          <w:snapToGrid w:val="0"/>
          <w:spacing w:val="-2"/>
          <w:sz w:val="16"/>
          <w:szCs w:val="16"/>
          <w:u w:color="000000"/>
        </w:rPr>
        <w:t> </w:t>
      </w:r>
      <w:r w:rsidRPr="00666AE7">
        <w:rPr>
          <w:spacing w:val="-2"/>
          <w:sz w:val="16"/>
          <w:szCs w:val="16"/>
        </w:rPr>
        <w:t>Poiché le norme relative alle impugnazioni delle parti private, diverse dall’imputato, prevedono e conferiscono il potere d’impugnativa alle stesse “parti” personalmente considerate, il difensore del responsabile civile è legittimato alla proposizione dell’appello soltanto se munito di procura speciale, la quale può essere anche contenuta nella stessa procura originariamente conferita per la costituzione nel giudizio di primo grado. In ogni caso, lo specifico potere di impugnazione conferito al difensore deve evincersi chiaramente dal contenuto della procura. Sul punto, sebbene con riferimento al difensore della parte civile, si è affermato che sussiste la legittimazione del difensore alla proposizione dell’appello anche nel caso in cui la procura speciale non faccia espresso riferimento a tale potere, a condizione che dal</w:t>
      </w:r>
      <w:r>
        <w:rPr>
          <w:spacing w:val="-2"/>
          <w:sz w:val="16"/>
          <w:szCs w:val="16"/>
        </w:rPr>
        <w:softHyphen/>
      </w:r>
      <w:r w:rsidRPr="00666AE7">
        <w:rPr>
          <w:spacing w:val="-2"/>
          <w:sz w:val="16"/>
          <w:szCs w:val="16"/>
        </w:rPr>
        <w:t>l’interpretazione del mandato sia comunque desumibile la manifestazione di volontà della parte di attribuire al difensore anche un siffatto potere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w:t>
      </w:r>
      <w:r w:rsidRPr="00666AE7">
        <w:rPr>
          <w:b/>
          <w:spacing w:val="-2"/>
          <w:sz w:val="16"/>
          <w:szCs w:val="16"/>
        </w:rPr>
        <w:t>sez. un</w:t>
      </w:r>
      <w:r w:rsidRPr="00666AE7">
        <w:rPr>
          <w:spacing w:val="-2"/>
          <w:sz w:val="16"/>
          <w:szCs w:val="16"/>
        </w:rPr>
        <w:t xml:space="preserve">., 18 novembre 2004, </w:t>
      </w:r>
      <w:proofErr w:type="spellStart"/>
      <w:r w:rsidRPr="00666AE7">
        <w:rPr>
          <w:spacing w:val="-2"/>
          <w:sz w:val="16"/>
          <w:szCs w:val="16"/>
        </w:rPr>
        <w:t>D.V</w:t>
      </w:r>
      <w:proofErr w:type="spellEnd"/>
      <w:r w:rsidRPr="00666AE7">
        <w:rPr>
          <w:spacing w:val="-2"/>
          <w:sz w:val="16"/>
          <w:szCs w:val="16"/>
        </w:rPr>
        <w:t xml:space="preserve">. ed altri, </w:t>
      </w:r>
      <w:r w:rsidRPr="00666AE7">
        <w:rPr>
          <w:i/>
          <w:spacing w:val="-2"/>
          <w:sz w:val="16"/>
          <w:szCs w:val="16"/>
        </w:rPr>
        <w:t xml:space="preserve">Arch. n. </w:t>
      </w:r>
      <w:proofErr w:type="spellStart"/>
      <w:r w:rsidRPr="00666AE7">
        <w:rPr>
          <w:i/>
          <w:spacing w:val="-2"/>
          <w:sz w:val="16"/>
          <w:szCs w:val="16"/>
        </w:rPr>
        <w:t>proc</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2005, 1, 32).</w:t>
      </w:r>
    </w:p>
  </w:footnote>
  <w:footnote w:id="4">
    <w:p w14:paraId="4634903F" w14:textId="4D3610CC"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A4007F">
        <w:rPr>
          <w:sz w:val="16"/>
          <w:szCs w:val="16"/>
        </w:rPr>
        <w:t>Giudice</w:t>
      </w:r>
      <w:r w:rsidRPr="00666AE7">
        <w:rPr>
          <w:sz w:val="16"/>
          <w:szCs w:val="16"/>
        </w:rPr>
        <w:t xml:space="preserve"> che lo ha emesso, data e numero del procedimento. </w:t>
      </w:r>
    </w:p>
  </w:footnote>
  <w:footnote w:id="5">
    <w:p w14:paraId="698E8EBC" w14:textId="77777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Corte di assise di … … …; Giudice di pace di … … …</w:t>
      </w:r>
    </w:p>
  </w:footnote>
  <w:footnote w:id="6">
    <w:p w14:paraId="1D06B7F0" w14:textId="644F9421" w:rsidR="007C6801" w:rsidRPr="00666AE7" w:rsidRDefault="007C6801" w:rsidP="005A17E3">
      <w:pPr>
        <w:pStyle w:val="Testonotaapidipagina"/>
        <w:widowControl w:val="0"/>
        <w:spacing w:before="60" w:line="185" w:lineRule="exact"/>
        <w:ind w:firstLine="284"/>
        <w:jc w:val="both"/>
        <w:rPr>
          <w:spacing w:val="-2"/>
          <w:sz w:val="16"/>
          <w:szCs w:val="16"/>
        </w:rPr>
      </w:pPr>
      <w:r w:rsidRPr="00666AE7">
        <w:rPr>
          <w:rStyle w:val="Rimandonotaapidipagina"/>
          <w:snapToGrid w:val="0"/>
          <w:spacing w:val="-2"/>
          <w:sz w:val="16"/>
          <w:szCs w:val="16"/>
          <w:u w:color="000000"/>
        </w:rPr>
        <w:footnoteRef/>
      </w:r>
      <w:r w:rsidRPr="00666AE7">
        <w:rPr>
          <w:snapToGrid w:val="0"/>
          <w:spacing w:val="-2"/>
          <w:sz w:val="16"/>
          <w:szCs w:val="16"/>
          <w:u w:color="000000"/>
        </w:rPr>
        <w:t> </w:t>
      </w:r>
      <w:r w:rsidRPr="00666AE7">
        <w:rPr>
          <w:spacing w:val="-2"/>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pacing w:val="-2"/>
          <w:sz w:val="16"/>
          <w:szCs w:val="16"/>
        </w:rPr>
        <w:t>Giudice</w:t>
      </w:r>
      <w:r w:rsidRPr="00666AE7">
        <w:rPr>
          <w:spacing w:val="-2"/>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di inammissibilità dell’impu</w:t>
      </w:r>
      <w:r>
        <w:rPr>
          <w:spacing w:val="-2"/>
          <w:sz w:val="16"/>
          <w:szCs w:val="16"/>
        </w:rPr>
        <w:softHyphen/>
      </w:r>
      <w:r w:rsidRPr="00666AE7">
        <w:rPr>
          <w:spacing w:val="-2"/>
          <w:sz w:val="16"/>
          <w:szCs w:val="16"/>
        </w:rPr>
        <w:t>gnazione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 7 ottobre 1997, </w:t>
      </w:r>
      <w:proofErr w:type="spellStart"/>
      <w:r w:rsidRPr="00666AE7">
        <w:rPr>
          <w:spacing w:val="-2"/>
          <w:sz w:val="16"/>
          <w:szCs w:val="16"/>
        </w:rPr>
        <w:t>Aloi</w:t>
      </w:r>
      <w:proofErr w:type="spellEnd"/>
      <w:r w:rsidRPr="00666AE7">
        <w:rPr>
          <w:spacing w:val="-2"/>
          <w:sz w:val="16"/>
          <w:szCs w:val="16"/>
        </w:rPr>
        <w:t xml:space="preserve">, </w:t>
      </w:r>
      <w:proofErr w:type="spellStart"/>
      <w:r w:rsidRPr="00666AE7">
        <w:rPr>
          <w:i/>
          <w:spacing w:val="-2"/>
          <w:sz w:val="16"/>
          <w:szCs w:val="16"/>
        </w:rPr>
        <w:t>Cass</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1998, 2061).</w:t>
      </w:r>
    </w:p>
  </w:footnote>
  <w:footnote w:id="7">
    <w:p w14:paraId="25CB2C69" w14:textId="0544FB97"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La legittimazione all’impugnazione del responsabile civile è limitata alle disposizioni delle sentenze di condanna riguardanti la responsabilità dell’imputato concernente gli interessi civili e le sentenze di assoluzione nei limiti delle statuizioni sulle domande di risarcimento del danno e di rifusione delle spese processuali. Ne consegue che deve escludersi la legittimazione ad impugnare la sentenza di non luogo a procedere per essere il reato estinto per intervenuta prescrizione, in ossequio al principio della tassatività delle impugnazioni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I, 15 luglio 2004, </w:t>
      </w:r>
      <w:r w:rsidRPr="00666AE7">
        <w:rPr>
          <w:i/>
          <w:sz w:val="16"/>
          <w:szCs w:val="16"/>
        </w:rPr>
        <w:t xml:space="preserve">Arch. n. </w:t>
      </w:r>
      <w:proofErr w:type="spellStart"/>
      <w:r w:rsidRPr="00666AE7">
        <w:rPr>
          <w:i/>
          <w:sz w:val="16"/>
          <w:szCs w:val="16"/>
        </w:rPr>
        <w:t>proc</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i/>
          <w:sz w:val="16"/>
          <w:szCs w:val="16"/>
        </w:rPr>
        <w:t>.</w:t>
      </w:r>
      <w:r w:rsidRPr="00666AE7">
        <w:rPr>
          <w:sz w:val="16"/>
          <w:szCs w:val="16"/>
        </w:rPr>
        <w:t>,</w:t>
      </w:r>
      <w:proofErr w:type="gramEnd"/>
      <w:r w:rsidRPr="00666AE7">
        <w:rPr>
          <w:sz w:val="16"/>
          <w:szCs w:val="16"/>
        </w:rPr>
        <w:t xml:space="preserve"> 2005, 5, 618). Quanto all’impugnazione del responsabile civile avverso le sentenze di assoluzione che abbiano rigettato o accolto parzialmente le domande proposte nei confronti della parte civile e/o del querelante per il risarcimento del danno e la rifusione delle spese processuali, vedi le nt. 5) e 6) in calce all’atto n. 270 (appello dell’imputato per le domande risarcitorie e di rifusione delle spese) nonché gli artt. 541 e 542 c.p.p.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A5AD2"/>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DB5B-17C9-4CA4-B15A-AAFFD8FC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160</Words>
  <Characters>918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2016-06-01T14:10:00Z</dcterms:modified>
</cp:coreProperties>
</file>