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CACA1" w14:textId="2BF3214F" w:rsidR="00510591" w:rsidRPr="003F7ADB" w:rsidRDefault="00510591" w:rsidP="005A17E3">
      <w:pPr>
        <w:pStyle w:val="CapoversoAtti"/>
        <w:widowControl w:val="0"/>
        <w:spacing w:line="240" w:lineRule="auto"/>
        <w:rPr>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DF1546" w:rsidRPr="003F7ADB" w14:paraId="0D698106" w14:textId="77777777" w:rsidTr="006D6F7C">
        <w:tc>
          <w:tcPr>
            <w:tcW w:w="537" w:type="dxa"/>
            <w:tcBorders>
              <w:bottom w:val="single" w:sz="4" w:space="0" w:color="5F5F5F"/>
              <w:right w:val="single" w:sz="4" w:space="0" w:color="5F5F5F"/>
            </w:tcBorders>
            <w:shd w:val="clear" w:color="auto" w:fill="auto"/>
            <w:vAlign w:val="center"/>
          </w:tcPr>
          <w:p w14:paraId="71E75B2F" w14:textId="4C9AA142" w:rsidR="00DF1546" w:rsidRPr="003F7ADB" w:rsidRDefault="00224F99" w:rsidP="00A718EB">
            <w:pPr>
              <w:pStyle w:val="DicituraAtto"/>
            </w:pPr>
            <w:r w:rsidRPr="003F7ADB">
              <w:t>33</w:t>
            </w:r>
            <w:r w:rsidR="00A718EB" w:rsidRPr="003F7ADB">
              <w:t>3</w:t>
            </w:r>
          </w:p>
        </w:tc>
        <w:tc>
          <w:tcPr>
            <w:tcW w:w="5984" w:type="dxa"/>
            <w:tcBorders>
              <w:left w:val="single" w:sz="4" w:space="0" w:color="5F5F5F"/>
              <w:bottom w:val="single" w:sz="4" w:space="0" w:color="5F5F5F"/>
            </w:tcBorders>
          </w:tcPr>
          <w:p w14:paraId="53A21E19"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0D41DBE4" w14:textId="77777777" w:rsidTr="006D6F7C">
        <w:trPr>
          <w:trHeight w:val="352"/>
        </w:trPr>
        <w:tc>
          <w:tcPr>
            <w:tcW w:w="537" w:type="dxa"/>
            <w:tcBorders>
              <w:top w:val="single" w:sz="4" w:space="0" w:color="5F5F5F"/>
              <w:right w:val="single" w:sz="4" w:space="0" w:color="5F5F5F"/>
            </w:tcBorders>
            <w:vAlign w:val="center"/>
          </w:tcPr>
          <w:p w14:paraId="238771CA"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1E25051D" w14:textId="3DE21110" w:rsidR="00DF1546" w:rsidRPr="003F7ADB" w:rsidRDefault="006D6F7C" w:rsidP="006D6F7C">
            <w:pPr>
              <w:pStyle w:val="TitoloAtto"/>
              <w:rPr>
                <w:spacing w:val="-3"/>
              </w:rPr>
            </w:pPr>
            <w:r w:rsidRPr="003F7ADB">
              <w:rPr>
                <w:spacing w:val="-3"/>
              </w:rPr>
              <w:t>Appello della parte civile contro la sentenza di condanna</w:t>
            </w:r>
          </w:p>
        </w:tc>
      </w:tr>
    </w:tbl>
    <w:p w14:paraId="329D6FB4" w14:textId="77777777" w:rsidR="00510591" w:rsidRPr="003F7ADB" w:rsidRDefault="00510591" w:rsidP="006D6F7C">
      <w:pPr>
        <w:pStyle w:val="CapoversoAtti"/>
      </w:pPr>
    </w:p>
    <w:p w14:paraId="282DF8AB" w14:textId="77777777" w:rsidR="006D6F7C" w:rsidRPr="003F7ADB" w:rsidRDefault="006D6F7C" w:rsidP="006D6F7C">
      <w:pPr>
        <w:pStyle w:val="CapoversoAtti"/>
      </w:pPr>
    </w:p>
    <w:p w14:paraId="5CD316DE" w14:textId="77777777" w:rsidR="00510591" w:rsidRPr="003F7ADB" w:rsidRDefault="00510591" w:rsidP="006D6F7C">
      <w:pPr>
        <w:pStyle w:val="CapoversoAtti"/>
      </w:pPr>
    </w:p>
    <w:p w14:paraId="2921319E" w14:textId="436BAD92" w:rsidR="00510591" w:rsidRPr="003F7ADB" w:rsidRDefault="005241E9" w:rsidP="006D6F7C">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7979549C" w14:textId="77777777" w:rsidR="00510591" w:rsidRPr="003F7ADB" w:rsidRDefault="00510591" w:rsidP="006D6F7C">
      <w:pPr>
        <w:pStyle w:val="CapoversoAtti"/>
      </w:pPr>
    </w:p>
    <w:p w14:paraId="3EAFD930" w14:textId="77777777" w:rsidR="00510591" w:rsidRPr="003F7ADB" w:rsidRDefault="00510591" w:rsidP="006D6F7C">
      <w:pPr>
        <w:pStyle w:val="CapoversoAtti"/>
      </w:pPr>
    </w:p>
    <w:p w14:paraId="7B2BCB4B" w14:textId="6AB2E62E" w:rsidR="00510591" w:rsidRPr="003F7ADB" w:rsidRDefault="00510591" w:rsidP="006D6F7C">
      <w:pPr>
        <w:pStyle w:val="CapoversoAtti"/>
      </w:pPr>
      <w:r w:rsidRPr="003F7ADB">
        <w:t xml:space="preserve">Il sottoscritto Avv. … … … difensore e procuratore </w:t>
      </w:r>
      <w:proofErr w:type="gramStart"/>
      <w:r w:rsidRPr="003F7ADB">
        <w:t>speciale</w:t>
      </w:r>
      <w:r w:rsidRPr="003F7ADB">
        <w:rPr>
          <w:snapToGrid w:val="0"/>
          <w:color w:val="000000"/>
          <w:u w:color="000000"/>
        </w:rPr>
        <w:t> </w:t>
      </w:r>
      <w:r w:rsidRPr="003F7ADB">
        <w:rPr>
          <w:snapToGrid w:val="0"/>
          <w:color w:val="000000"/>
          <w:u w:color="000000"/>
          <w:vertAlign w:val="superscript"/>
        </w:rPr>
        <w:footnoteReference w:id="2"/>
      </w:r>
      <w:r w:rsidRPr="003F7ADB">
        <w:t xml:space="preserve"> di</w:t>
      </w:r>
      <w:proofErr w:type="gramEnd"/>
      <w:r w:rsidRPr="003F7ADB">
        <w:t xml:space="preserve"> … … … (nome e cognome/denominazione), parte civile costituita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3"/>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4"/>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5"/>
      </w:r>
      <w:r w:rsidRPr="003F7ADB">
        <w:t>, con la quale, affermata la penale responsabilità dell</w:t>
      </w:r>
      <w:r w:rsidR="00650B84" w:rsidRPr="003F7ADB">
        <w:t>’</w:t>
      </w:r>
      <w:r w:rsidRPr="003F7ADB">
        <w:t>imputato, venivano rigettate (totalmente o parzialmente) le richieste risarcitorie (e/o restitutorie) avanzate dalla parte civile</w:t>
      </w:r>
      <w:r w:rsidRPr="003F7ADB">
        <w:rPr>
          <w:snapToGrid w:val="0"/>
          <w:color w:val="000000"/>
          <w:u w:color="000000"/>
        </w:rPr>
        <w:t> </w:t>
      </w:r>
      <w:r w:rsidRPr="003F7ADB">
        <w:rPr>
          <w:snapToGrid w:val="0"/>
          <w:color w:val="000000"/>
          <w:u w:color="000000"/>
          <w:vertAlign w:val="superscript"/>
        </w:rPr>
        <w:footnoteReference w:id="6"/>
      </w:r>
      <w:r w:rsidRPr="003F7ADB">
        <w:t>.</w:t>
      </w:r>
    </w:p>
    <w:p w14:paraId="0AD13E63" w14:textId="77777777" w:rsidR="00510591" w:rsidRPr="003F7ADB" w:rsidRDefault="00510591" w:rsidP="00224F99">
      <w:pPr>
        <w:pStyle w:val="CapoversoAtti"/>
        <w:spacing w:before="480"/>
        <w:jc w:val="center"/>
        <w:rPr>
          <w:i/>
        </w:rPr>
      </w:pPr>
      <w:r w:rsidRPr="003F7ADB">
        <w:rPr>
          <w:i/>
        </w:rPr>
        <w:lastRenderedPageBreak/>
        <w:t>Motivi</w:t>
      </w:r>
    </w:p>
    <w:p w14:paraId="18531BF5" w14:textId="77777777" w:rsidR="00510591" w:rsidRPr="003F7ADB" w:rsidRDefault="00510591" w:rsidP="006D6F7C">
      <w:pPr>
        <w:pStyle w:val="CapoversoAtti"/>
      </w:pPr>
    </w:p>
    <w:p w14:paraId="47643E20" w14:textId="77777777" w:rsidR="00510591" w:rsidRPr="003F7ADB" w:rsidRDefault="00510591" w:rsidP="006D6F7C">
      <w:pPr>
        <w:pStyle w:val="CapoversoAtti"/>
      </w:pPr>
      <w:r w:rsidRPr="003F7ADB">
        <w:t>1. es. sussistenza del danno patito dalla parte civile in conseguenza della commissione del reato</w:t>
      </w:r>
    </w:p>
    <w:p w14:paraId="6BB02D56" w14:textId="77777777" w:rsidR="00510591" w:rsidRPr="003F7ADB" w:rsidRDefault="00510591" w:rsidP="006D6F7C">
      <w:pPr>
        <w:pStyle w:val="CapoversoAtti"/>
      </w:pPr>
    </w:p>
    <w:p w14:paraId="60C822AB" w14:textId="18C96762" w:rsidR="00510591" w:rsidRPr="003F7ADB" w:rsidRDefault="00510591" w:rsidP="006D6F7C">
      <w:pPr>
        <w:pStyle w:val="CapoversoAtti"/>
      </w:pPr>
      <w:r w:rsidRPr="003F7ADB">
        <w:rPr>
          <w:spacing w:val="2"/>
        </w:rPr>
        <w:t>Per quanto sopra chiede che l</w:t>
      </w:r>
      <w:r w:rsidR="00650B84" w:rsidRPr="003F7ADB">
        <w:rPr>
          <w:spacing w:val="2"/>
        </w:rPr>
        <w:t>’</w:t>
      </w:r>
      <w:r w:rsidRPr="003F7ADB">
        <w:rPr>
          <w:spacing w:val="2"/>
        </w:rPr>
        <w:t>imputato sia condannato al risarcimento dei danni in favore della parte civile nella misura di</w:t>
      </w:r>
      <w:r w:rsidR="00224F99" w:rsidRPr="003F7ADB">
        <w:rPr>
          <w:spacing w:val="2"/>
        </w:rPr>
        <w:t xml:space="preserve"> …</w:t>
      </w:r>
      <w:r w:rsidRPr="003F7ADB">
        <w:rPr>
          <w:spacing w:val="2"/>
        </w:rPr>
        <w:t xml:space="preserve"> … … … (o nella maggior misura di … … …</w:t>
      </w:r>
      <w:proofErr w:type="gramStart"/>
      <w:r w:rsidRPr="003F7ADB">
        <w:rPr>
          <w:spacing w:val="2"/>
        </w:rPr>
        <w:t>)</w:t>
      </w:r>
      <w:r w:rsidRPr="003F7ADB">
        <w:rPr>
          <w:snapToGrid w:val="0"/>
          <w:color w:val="000000"/>
          <w:spacing w:val="2"/>
          <w:u w:color="000000"/>
        </w:rPr>
        <w:t> </w:t>
      </w:r>
      <w:r w:rsidRPr="003F7ADB">
        <w:rPr>
          <w:snapToGrid w:val="0"/>
          <w:color w:val="000000"/>
          <w:spacing w:val="2"/>
          <w:u w:color="000000"/>
          <w:vertAlign w:val="superscript"/>
        </w:rPr>
        <w:footnoteReference w:id="7"/>
      </w:r>
      <w:r w:rsidRPr="003F7ADB">
        <w:rPr>
          <w:spacing w:val="2"/>
        </w:rPr>
        <w:t>,</w:t>
      </w:r>
      <w:proofErr w:type="gramEnd"/>
      <w:r w:rsidRPr="003F7ADB">
        <w:rPr>
          <w:spacing w:val="2"/>
        </w:rPr>
        <w:t xml:space="preserve"> </w:t>
      </w:r>
      <w:r w:rsidRPr="003F7ADB">
        <w:t>oltre alla rifusione delle spese processuali da questa sostenute nel giudizio di primo grado, come quantificate nella nota spese depositata in atti.</w:t>
      </w:r>
    </w:p>
    <w:p w14:paraId="78E6DFA5" w14:textId="77777777" w:rsidR="00510591" w:rsidRPr="003F7ADB" w:rsidRDefault="00510591" w:rsidP="006D6F7C">
      <w:pPr>
        <w:pStyle w:val="CapoversoAtti"/>
      </w:pPr>
    </w:p>
    <w:p w14:paraId="4C1EC1DD" w14:textId="77777777" w:rsidR="00510591" w:rsidRPr="003F7ADB" w:rsidRDefault="00510591" w:rsidP="006D6F7C">
      <w:pPr>
        <w:pStyle w:val="CapoversoAtti"/>
      </w:pPr>
      <w:r w:rsidRPr="003F7ADB">
        <w:t>Luogo e data</w:t>
      </w:r>
    </w:p>
    <w:p w14:paraId="53001E1D" w14:textId="77777777" w:rsidR="00510591" w:rsidRPr="003F7ADB" w:rsidRDefault="00510591" w:rsidP="006D6F7C">
      <w:pPr>
        <w:pStyle w:val="CapoversoAtti"/>
        <w:jc w:val="right"/>
      </w:pPr>
      <w:r w:rsidRPr="003F7ADB">
        <w:t>Sottoscrizione del difensore</w:t>
      </w:r>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27760E03" w14:textId="7245E6D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A4007F">
        <w:rPr>
          <w:sz w:val="16"/>
          <w:szCs w:val="16"/>
        </w:rPr>
        <w:t>Giudice</w:t>
      </w:r>
      <w:r w:rsidRPr="00666AE7">
        <w:rPr>
          <w:sz w:val="16"/>
          <w:szCs w:val="16"/>
        </w:rPr>
        <w:t xml:space="preserve"> che ha emesso il provvedimento impugnato. Il comma 2 della norma in commento consente la presentazione dell’atto di impugnazione anche nella cancelleria del </w:t>
      </w:r>
      <w:r w:rsidR="00A4007F">
        <w:rPr>
          <w:sz w:val="16"/>
          <w:szCs w:val="16"/>
        </w:rPr>
        <w:t>Tribunale</w:t>
      </w:r>
      <w:r w:rsidRPr="00666AE7">
        <w:rPr>
          <w:sz w:val="16"/>
          <w:szCs w:val="16"/>
        </w:rPr>
        <w:t xml:space="preserve"> o del </w:t>
      </w:r>
      <w:r w:rsidR="00A4007F">
        <w:rPr>
          <w:sz w:val="16"/>
          <w:szCs w:val="16"/>
        </w:rPr>
        <w:t>Giudice</w:t>
      </w:r>
      <w:r w:rsidRPr="00666AE7">
        <w:rPr>
          <w:sz w:val="16"/>
          <w:szCs w:val="16"/>
        </w:rPr>
        <w:t xml:space="preserve"> di pace del luogo in cui si trovano le parti legittimate, qualora tale luogo sia diverso da quello in cui ha sede il </w:t>
      </w:r>
      <w:r w:rsidR="00A4007F">
        <w:rPr>
          <w:sz w:val="16"/>
          <w:szCs w:val="16"/>
        </w:rPr>
        <w:t>Giudice</w:t>
      </w:r>
      <w:r w:rsidRPr="00666AE7">
        <w:rPr>
          <w:sz w:val="16"/>
          <w:szCs w:val="16"/>
        </w:rPr>
        <w:t xml:space="preserv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770452D1" w14:textId="2A5E29DA"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Poiché le norme relative alle impugnazioni delle parti private, diverse dall’imputato, prevedono e conferiscono il potere d’impugnativa alle stesse “parti” personalmente considerate, il difensore della parte civile è legittimato alla proposizione dell’appello soltanto se munito di procura speciale, la quale può essere anche contenuta nella stessa procura originariamente conferita per la costituzione nel giudizio di primo grado. In ogni caso, lo specifico potere di impugnazione conferito al difensore deve evincersi chiaramente dal contenuto della procura. Sul punto si è affermato che sussiste la legittimazione del difensore alla proposizione dell’appello anche nel caso in cui la procura speciale non faccia espresso riferimento al potere di interporre tale mezzo di gravame, a condizione che dall’in</w:t>
      </w:r>
      <w:r>
        <w:rPr>
          <w:sz w:val="16"/>
          <w:szCs w:val="16"/>
        </w:rPr>
        <w:softHyphen/>
      </w:r>
      <w:r w:rsidRPr="00666AE7">
        <w:rPr>
          <w:sz w:val="16"/>
          <w:szCs w:val="16"/>
        </w:rPr>
        <w:t>ter</w:t>
      </w:r>
      <w:r>
        <w:rPr>
          <w:sz w:val="16"/>
          <w:szCs w:val="16"/>
        </w:rPr>
        <w:softHyphen/>
      </w:r>
      <w:r w:rsidRPr="00666AE7">
        <w:rPr>
          <w:sz w:val="16"/>
          <w:szCs w:val="16"/>
        </w:rPr>
        <w:t>pretazione del mandato sia comunque desumibile la manifestazione di volontà della parte di attribuire al difensore anche un siffatto potere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w:t>
      </w:r>
      <w:r w:rsidRPr="00666AE7">
        <w:rPr>
          <w:b/>
          <w:sz w:val="16"/>
          <w:szCs w:val="16"/>
        </w:rPr>
        <w:t>sez. un.</w:t>
      </w:r>
      <w:r w:rsidRPr="00666AE7">
        <w:rPr>
          <w:sz w:val="16"/>
          <w:szCs w:val="16"/>
        </w:rPr>
        <w:t xml:space="preserve">, 18 novembre 2004, </w:t>
      </w:r>
      <w:proofErr w:type="spellStart"/>
      <w:r w:rsidRPr="00666AE7">
        <w:rPr>
          <w:sz w:val="16"/>
          <w:szCs w:val="16"/>
        </w:rPr>
        <w:t>D.V</w:t>
      </w:r>
      <w:proofErr w:type="spellEnd"/>
      <w:r w:rsidRPr="00666AE7">
        <w:rPr>
          <w:sz w:val="16"/>
          <w:szCs w:val="16"/>
        </w:rPr>
        <w:t xml:space="preserve">. ed altri, </w:t>
      </w:r>
      <w:r w:rsidRPr="00666AE7">
        <w:rPr>
          <w:i/>
          <w:sz w:val="16"/>
          <w:szCs w:val="16"/>
        </w:rPr>
        <w:t xml:space="preserve">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2005, 1, 32).</w:t>
      </w:r>
    </w:p>
  </w:footnote>
  <w:footnote w:id="3">
    <w:p w14:paraId="7BEA11EF" w14:textId="3F0106F5"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 </w:t>
      </w:r>
    </w:p>
  </w:footnote>
  <w:footnote w:id="4">
    <w:p w14:paraId="5DBF0152" w14:textId="562F56C3"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dalla Corte di assise di ... ... ..., Giudice di pace di ... ... ... ovvero Giudice dell’udienza preliminare di ... ... ... nel caso in cui la parte civile abbia accettato il rito abbreviato (art. 441, comma 2, c.p.p.).</w:t>
      </w:r>
    </w:p>
  </w:footnote>
  <w:footnote w:id="5">
    <w:p w14:paraId="03A29E9A" w14:textId="0826B48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z w:val="16"/>
          <w:szCs w:val="16"/>
        </w:rPr>
        <w:t>Giudice</w:t>
      </w:r>
      <w:r w:rsidRPr="00666AE7">
        <w:rPr>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w:t>
      </w:r>
      <w:r w:rsidRPr="00666AE7">
        <w:rPr>
          <w:spacing w:val="-2"/>
          <w:sz w:val="16"/>
          <w:szCs w:val="16"/>
        </w:rPr>
        <w:t>di inammissibilità del</w:t>
      </w:r>
      <w:r>
        <w:rPr>
          <w:spacing w:val="-2"/>
          <w:sz w:val="16"/>
          <w:szCs w:val="16"/>
        </w:rPr>
        <w:softHyphen/>
      </w:r>
      <w:r w:rsidRPr="00666AE7">
        <w:rPr>
          <w:spacing w:val="-2"/>
          <w:sz w:val="16"/>
          <w:szCs w:val="16"/>
        </w:rPr>
        <w:t>l’impugnazione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6">
    <w:p w14:paraId="10AB3E6F" w14:textId="63FB15F0"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A parte il caso del mancato accoglimento delle domande restitutorie e risarcitorie, la parte civile è priva di interesse all’impugnazione delle sentenze di condanna, anche nell’ipotesi in cui con que</w:t>
      </w:r>
      <w:r>
        <w:rPr>
          <w:sz w:val="16"/>
          <w:szCs w:val="16"/>
        </w:rPr>
        <w:softHyphen/>
      </w:r>
      <w:r w:rsidRPr="00666AE7">
        <w:rPr>
          <w:sz w:val="16"/>
          <w:szCs w:val="16"/>
        </w:rPr>
        <w:t>st’ultima sia stata data al fatto una qualificazione giuridica diversa rispetto a quella contenuta nel</w:t>
      </w:r>
      <w:r>
        <w:rPr>
          <w:sz w:val="16"/>
          <w:szCs w:val="16"/>
        </w:rPr>
        <w:softHyphen/>
      </w:r>
      <w:r w:rsidRPr="00666AE7">
        <w:rPr>
          <w:sz w:val="16"/>
          <w:szCs w:val="16"/>
        </w:rPr>
        <w:t>l’imputazione, salvo che da tale diversa qualificazione possa derivare una differente quantificazione del danno da risarcire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 26 maggio 2003, Laganà, </w:t>
      </w:r>
      <w:r w:rsidRPr="00666AE7">
        <w:rPr>
          <w:i/>
          <w:sz w:val="16"/>
          <w:szCs w:val="16"/>
        </w:rPr>
        <w:t xml:space="preserve">CED </w:t>
      </w:r>
      <w:proofErr w:type="spellStart"/>
      <w:r w:rsidRPr="00666AE7">
        <w:rPr>
          <w:i/>
          <w:sz w:val="16"/>
          <w:szCs w:val="16"/>
        </w:rPr>
        <w:t>Cass</w:t>
      </w:r>
      <w:proofErr w:type="spellEnd"/>
      <w:r w:rsidRPr="00666AE7">
        <w:rPr>
          <w:sz w:val="16"/>
          <w:szCs w:val="16"/>
        </w:rPr>
        <w:t>., 224562).</w:t>
      </w:r>
    </w:p>
  </w:footnote>
  <w:footnote w:id="7">
    <w:p w14:paraId="1486DC8D" w14:textId="4C5C2898"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Quanto all’entità delle pretese risarcitorie e delle spese, ci si può anche riportare al contenuto della nota conclusionale depositata all’esito del giudizio di primo grado. Con riguardo alle spese del giudizio di appello è necessario, invece, depositare una nuova nota spese all’esito della discussione.</w:t>
      </w:r>
    </w:p>
    <w:p w14:paraId="14C7D7DB" w14:textId="5F87D7F5" w:rsidR="007C6801" w:rsidRPr="00666AE7" w:rsidRDefault="007C6801" w:rsidP="005A17E3">
      <w:pPr>
        <w:pStyle w:val="Testonotaapidipagina"/>
        <w:widowControl w:val="0"/>
        <w:spacing w:line="185" w:lineRule="exact"/>
        <w:ind w:firstLine="284"/>
        <w:jc w:val="both"/>
        <w:rPr>
          <w:sz w:val="16"/>
          <w:szCs w:val="16"/>
        </w:rPr>
      </w:pPr>
      <w:r w:rsidRPr="00666AE7">
        <w:rPr>
          <w:sz w:val="16"/>
          <w:szCs w:val="16"/>
        </w:rPr>
        <w:t xml:space="preserve">Si rammenta, comunque, che l’omessa determinazione dell’ammontare dei danni di cui si chiede il risarcimento non produce alcuna nullità né impedisce al </w:t>
      </w:r>
      <w:r w:rsidR="00A4007F">
        <w:rPr>
          <w:sz w:val="16"/>
          <w:szCs w:val="16"/>
        </w:rPr>
        <w:t>Giudice</w:t>
      </w:r>
      <w:r w:rsidRPr="00666AE7">
        <w:rPr>
          <w:sz w:val="16"/>
          <w:szCs w:val="16"/>
        </w:rPr>
        <w:t xml:space="preserve"> di pronunciare la condanna generica al risarcimento dei danni. Ed invero, unica condizione essenziale, dell’esercizio dell’azione civile in sede penale, è la richiesta del risarcimento, la cui entità può essere precisata in altra sede dalla stessa parte, o rimessa alla prudente valutazione del </w:t>
      </w:r>
      <w:r w:rsidR="00A4007F">
        <w:rPr>
          <w:sz w:val="16"/>
          <w:szCs w:val="16"/>
        </w:rPr>
        <w:t>Giudice</w:t>
      </w:r>
      <w:r w:rsidRPr="00666AE7">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31A4"/>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5F16B-4015-4CFE-9DB5-7988F71A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152</Words>
  <Characters>870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2016-06-01T14:13:00Z</dcterms:modified>
</cp:coreProperties>
</file>