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0331C" w14:textId="1DFA2277" w:rsidR="00510591" w:rsidRPr="003F7ADB" w:rsidRDefault="00510591" w:rsidP="005A17E3">
      <w:pPr>
        <w:pStyle w:val="CapoversoAtti"/>
        <w:widowControl w:val="0"/>
        <w:spacing w:line="240" w:lineRule="auto"/>
        <w:rPr>
          <w:sz w:val="2"/>
          <w:szCs w:val="2"/>
        </w:rPr>
      </w:pPr>
    </w:p>
    <w:tbl>
      <w:tblPr>
        <w:tblW w:w="6521" w:type="dxa"/>
        <w:tblInd w:w="108" w:type="dxa"/>
        <w:tblLook w:val="01E0" w:firstRow="1" w:lastRow="1" w:firstColumn="1" w:lastColumn="1" w:noHBand="0" w:noVBand="0"/>
      </w:tblPr>
      <w:tblGrid>
        <w:gridCol w:w="537"/>
        <w:gridCol w:w="5984"/>
      </w:tblGrid>
      <w:tr w:rsidR="00DF1546" w:rsidRPr="003F7ADB" w14:paraId="3B88B50E" w14:textId="77777777" w:rsidTr="005A17E3">
        <w:tc>
          <w:tcPr>
            <w:tcW w:w="537" w:type="dxa"/>
            <w:tcBorders>
              <w:bottom w:val="single" w:sz="4" w:space="0" w:color="5F5F5F"/>
              <w:right w:val="single" w:sz="4" w:space="0" w:color="5F5F5F"/>
            </w:tcBorders>
            <w:shd w:val="clear" w:color="auto" w:fill="auto"/>
            <w:vAlign w:val="center"/>
          </w:tcPr>
          <w:p w14:paraId="619576AD" w14:textId="4AAAF1D0" w:rsidR="00DF1546" w:rsidRPr="003F7ADB" w:rsidRDefault="00224F99" w:rsidP="00A718EB">
            <w:pPr>
              <w:pStyle w:val="DicituraAtto"/>
            </w:pPr>
            <w:r w:rsidRPr="003F7ADB">
              <w:t>33</w:t>
            </w:r>
            <w:r w:rsidR="00A718EB" w:rsidRPr="003F7ADB">
              <w:t>5</w:t>
            </w:r>
          </w:p>
        </w:tc>
        <w:tc>
          <w:tcPr>
            <w:tcW w:w="5984" w:type="dxa"/>
            <w:tcBorders>
              <w:left w:val="single" w:sz="4" w:space="0" w:color="5F5F5F"/>
              <w:bottom w:val="single" w:sz="4" w:space="0" w:color="5F5F5F"/>
            </w:tcBorders>
          </w:tcPr>
          <w:p w14:paraId="3DF6AE47" w14:textId="77777777" w:rsidR="00DF1546" w:rsidRPr="003F7ADB" w:rsidRDefault="00DF1546" w:rsidP="005A17E3">
            <w:pPr>
              <w:widowControl w:val="0"/>
              <w:tabs>
                <w:tab w:val="left" w:pos="3420"/>
              </w:tabs>
              <w:jc w:val="center"/>
              <w:rPr>
                <w:rFonts w:ascii="Arial" w:hAnsi="Arial" w:cs="Arial"/>
                <w:b/>
                <w:i/>
                <w:sz w:val="22"/>
                <w:szCs w:val="22"/>
              </w:rPr>
            </w:pPr>
          </w:p>
        </w:tc>
      </w:tr>
      <w:tr w:rsidR="00DF1546" w:rsidRPr="003F7ADB" w14:paraId="315F419E" w14:textId="77777777" w:rsidTr="005A17E3">
        <w:trPr>
          <w:trHeight w:val="352"/>
        </w:trPr>
        <w:tc>
          <w:tcPr>
            <w:tcW w:w="537" w:type="dxa"/>
            <w:tcBorders>
              <w:top w:val="single" w:sz="4" w:space="0" w:color="5F5F5F"/>
              <w:right w:val="single" w:sz="4" w:space="0" w:color="5F5F5F"/>
            </w:tcBorders>
            <w:vAlign w:val="center"/>
          </w:tcPr>
          <w:p w14:paraId="0696BD12" w14:textId="77777777" w:rsidR="00DF1546" w:rsidRPr="003F7ADB" w:rsidRDefault="00DF1546" w:rsidP="005A17E3">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14:paraId="5FE00CFD" w14:textId="04542283" w:rsidR="00DF1546" w:rsidRPr="003F7ADB" w:rsidRDefault="006D6F7C" w:rsidP="005A17E3">
            <w:pPr>
              <w:pStyle w:val="TitoloAtto"/>
            </w:pPr>
            <w:r w:rsidRPr="003F7ADB">
              <w:t>Appello incidentale</w:t>
            </w:r>
          </w:p>
        </w:tc>
      </w:tr>
    </w:tbl>
    <w:p w14:paraId="2E651FF8" w14:textId="77777777" w:rsidR="00510591" w:rsidRPr="003F7ADB" w:rsidRDefault="00510591" w:rsidP="005A17E3">
      <w:pPr>
        <w:pStyle w:val="CapoversoAtti"/>
      </w:pPr>
    </w:p>
    <w:p w14:paraId="78883133" w14:textId="77777777" w:rsidR="00510591" w:rsidRPr="003F7ADB" w:rsidRDefault="00510591" w:rsidP="005A17E3">
      <w:pPr>
        <w:pStyle w:val="CapoversoAtti"/>
      </w:pPr>
    </w:p>
    <w:p w14:paraId="65A0B3AD" w14:textId="77777777" w:rsidR="005A17E3" w:rsidRPr="003F7ADB" w:rsidRDefault="005A17E3" w:rsidP="005A17E3">
      <w:pPr>
        <w:pStyle w:val="CapoversoAtti"/>
      </w:pPr>
    </w:p>
    <w:p w14:paraId="1BD47601" w14:textId="4EAF6A47" w:rsidR="00510591" w:rsidRPr="003F7ADB" w:rsidRDefault="005241E9" w:rsidP="005A17E3">
      <w:pPr>
        <w:pStyle w:val="CapoversoAtti"/>
        <w:jc w:val="center"/>
      </w:pPr>
      <w:r w:rsidRPr="003F7ADB">
        <w:t>Corte di appello</w:t>
      </w:r>
      <w:r w:rsidR="00510591" w:rsidRPr="003F7ADB">
        <w:t xml:space="preserve"> di … … …</w:t>
      </w:r>
      <w:r w:rsidR="00510591" w:rsidRPr="003F7ADB">
        <w:rPr>
          <w:snapToGrid w:val="0"/>
          <w:color w:val="000000"/>
          <w:u w:color="000000"/>
        </w:rPr>
        <w:t> </w:t>
      </w:r>
      <w:r w:rsidR="00510591" w:rsidRPr="003F7ADB">
        <w:rPr>
          <w:snapToGrid w:val="0"/>
          <w:color w:val="000000"/>
          <w:u w:color="000000"/>
          <w:vertAlign w:val="superscript"/>
        </w:rPr>
        <w:footnoteReference w:id="1"/>
      </w:r>
    </w:p>
    <w:p w14:paraId="40BFBD3C" w14:textId="77777777" w:rsidR="00510591" w:rsidRPr="003F7ADB" w:rsidRDefault="00510591" w:rsidP="005A17E3">
      <w:pPr>
        <w:pStyle w:val="CapoversoAtti"/>
      </w:pPr>
    </w:p>
    <w:p w14:paraId="16CB7B78" w14:textId="77777777" w:rsidR="00510591" w:rsidRPr="003F7ADB" w:rsidRDefault="00510591" w:rsidP="005A17E3">
      <w:pPr>
        <w:pStyle w:val="CapoversoAtti"/>
      </w:pPr>
    </w:p>
    <w:p w14:paraId="174C67D0" w14:textId="6ADF06B9" w:rsidR="00510591" w:rsidRPr="003F7ADB" w:rsidRDefault="00510591" w:rsidP="005A17E3">
      <w:pPr>
        <w:pStyle w:val="CapoversoAtti"/>
      </w:pPr>
      <w:r w:rsidRPr="003F7ADB">
        <w:t xml:space="preserve">Il sottoscritto Avv. ... ... ... (nome e </w:t>
      </w:r>
      <w:proofErr w:type="gramStart"/>
      <w:r w:rsidRPr="003F7ADB">
        <w:t>cognome)</w:t>
      </w:r>
      <w:r w:rsidRPr="003F7ADB">
        <w:rPr>
          <w:snapToGrid w:val="0"/>
          <w:color w:val="000000"/>
          <w:u w:color="000000"/>
        </w:rPr>
        <w:t> </w:t>
      </w:r>
      <w:r w:rsidRPr="003F7ADB">
        <w:rPr>
          <w:snapToGrid w:val="0"/>
          <w:color w:val="000000"/>
          <w:u w:color="000000"/>
          <w:vertAlign w:val="superscript"/>
        </w:rPr>
        <w:footnoteReference w:id="2"/>
      </w:r>
      <w:r w:rsidRPr="003F7ADB">
        <w:t xml:space="preserve"> difensore</w:t>
      </w:r>
      <w:proofErr w:type="gramEnd"/>
      <w:r w:rsidRPr="003F7ADB">
        <w:t xml:space="preserve"> di ... ... ... (nome e cognome), imputato</w:t>
      </w:r>
      <w:r w:rsidRPr="003F7ADB">
        <w:rPr>
          <w:snapToGrid w:val="0"/>
          <w:color w:val="000000"/>
          <w:u w:color="000000"/>
        </w:rPr>
        <w:t> </w:t>
      </w:r>
      <w:r w:rsidRPr="003F7ADB">
        <w:rPr>
          <w:snapToGrid w:val="0"/>
          <w:color w:val="000000"/>
          <w:u w:color="000000"/>
          <w:vertAlign w:val="superscript"/>
        </w:rPr>
        <w:footnoteReference w:id="3"/>
      </w:r>
      <w:r w:rsidRPr="003F7ADB">
        <w:t xml:space="preserve"> nel procedimento penale n. ... ... ..., a seguito della notifica dell</w:t>
      </w:r>
      <w:r w:rsidR="00650B84" w:rsidRPr="003F7ADB">
        <w:t>’</w:t>
      </w:r>
      <w:r w:rsidRPr="003F7ADB">
        <w:t xml:space="preserve">appello proposto dal </w:t>
      </w:r>
      <w:r w:rsidR="005241E9" w:rsidRPr="003F7ADB">
        <w:t>pubblico ministero</w:t>
      </w:r>
      <w:r w:rsidRPr="003F7ADB">
        <w:rPr>
          <w:snapToGrid w:val="0"/>
          <w:color w:val="000000"/>
          <w:u w:color="000000"/>
        </w:rPr>
        <w:t> </w:t>
      </w:r>
      <w:r w:rsidRPr="003F7ADB">
        <w:rPr>
          <w:snapToGrid w:val="0"/>
          <w:color w:val="000000"/>
          <w:u w:color="000000"/>
          <w:vertAlign w:val="superscript"/>
        </w:rPr>
        <w:footnoteReference w:id="4"/>
      </w:r>
      <w:r w:rsidRPr="003F7ADB">
        <w:t>, intervenuta in data …/…/…, dichiara di proporre</w:t>
      </w:r>
    </w:p>
    <w:p w14:paraId="69375965" w14:textId="77777777" w:rsidR="00510591" w:rsidRPr="003F7ADB" w:rsidRDefault="00510591" w:rsidP="005A17E3">
      <w:pPr>
        <w:pStyle w:val="CapoversoAtti"/>
      </w:pPr>
    </w:p>
    <w:p w14:paraId="0B6D78CC" w14:textId="77777777" w:rsidR="00510591" w:rsidRPr="003F7ADB" w:rsidRDefault="00510591" w:rsidP="005A17E3">
      <w:pPr>
        <w:pStyle w:val="CapoversoAtti"/>
        <w:jc w:val="center"/>
      </w:pPr>
      <w:proofErr w:type="gramStart"/>
      <w:r w:rsidRPr="003F7ADB">
        <w:rPr>
          <w:i/>
        </w:rPr>
        <w:t>appello</w:t>
      </w:r>
      <w:proofErr w:type="gramEnd"/>
      <w:r w:rsidRPr="003F7ADB">
        <w:rPr>
          <w:i/>
        </w:rPr>
        <w:t xml:space="preserve"> incidentale</w:t>
      </w:r>
      <w:r w:rsidRPr="003F7ADB">
        <w:rPr>
          <w:snapToGrid w:val="0"/>
          <w:color w:val="000000"/>
          <w:u w:color="000000"/>
        </w:rPr>
        <w:t> </w:t>
      </w:r>
      <w:r w:rsidRPr="003F7ADB">
        <w:rPr>
          <w:snapToGrid w:val="0"/>
          <w:color w:val="000000"/>
          <w:u w:color="000000"/>
          <w:vertAlign w:val="superscript"/>
        </w:rPr>
        <w:footnoteReference w:id="5"/>
      </w:r>
    </w:p>
    <w:p w14:paraId="01BFDC51" w14:textId="77777777" w:rsidR="00510591" w:rsidRPr="003F7ADB" w:rsidRDefault="00510591" w:rsidP="005A17E3">
      <w:pPr>
        <w:pStyle w:val="CapoversoAtti"/>
      </w:pPr>
    </w:p>
    <w:p w14:paraId="3873B75D" w14:textId="693B3A80" w:rsidR="00510591" w:rsidRPr="003F7ADB" w:rsidRDefault="00510591" w:rsidP="005A17E3">
      <w:pPr>
        <w:pStyle w:val="CapoversoAtti"/>
      </w:pPr>
      <w:proofErr w:type="gramStart"/>
      <w:r w:rsidRPr="003F7ADB">
        <w:t>avverso</w:t>
      </w:r>
      <w:r w:rsidRPr="003F7ADB">
        <w:rPr>
          <w:snapToGrid w:val="0"/>
          <w:color w:val="000000"/>
          <w:u w:color="000000"/>
        </w:rPr>
        <w:t> </w:t>
      </w:r>
      <w:r w:rsidRPr="003F7ADB">
        <w:rPr>
          <w:snapToGrid w:val="0"/>
          <w:color w:val="000000"/>
          <w:u w:color="000000"/>
          <w:vertAlign w:val="superscript"/>
        </w:rPr>
        <w:footnoteReference w:id="6"/>
      </w:r>
      <w:r w:rsidRPr="003F7ADB">
        <w:t xml:space="preserve"> la</w:t>
      </w:r>
      <w:proofErr w:type="gramEnd"/>
      <w:r w:rsidRPr="003F7ADB">
        <w:t xml:space="preserve"> sentenza emessa dal </w:t>
      </w:r>
      <w:r w:rsidR="005241E9" w:rsidRPr="003F7ADB">
        <w:t>Tribunale</w:t>
      </w:r>
      <w:r w:rsidRPr="003F7ADB">
        <w:rPr>
          <w:snapToGrid w:val="0"/>
          <w:color w:val="000000"/>
          <w:u w:color="000000"/>
        </w:rPr>
        <w:t> </w:t>
      </w:r>
      <w:r w:rsidRPr="003F7ADB">
        <w:rPr>
          <w:snapToGrid w:val="0"/>
          <w:color w:val="000000"/>
          <w:u w:color="000000"/>
          <w:vertAlign w:val="superscript"/>
        </w:rPr>
        <w:footnoteReference w:id="7"/>
      </w:r>
      <w:r w:rsidRPr="003F7ADB">
        <w:t xml:space="preserve"> di … … … in data …/…/…</w:t>
      </w:r>
      <w:r w:rsidRPr="003F7ADB">
        <w:rPr>
          <w:snapToGrid w:val="0"/>
          <w:color w:val="000000"/>
          <w:u w:color="000000"/>
        </w:rPr>
        <w:t> </w:t>
      </w:r>
      <w:r w:rsidRPr="003F7ADB">
        <w:rPr>
          <w:snapToGrid w:val="0"/>
          <w:color w:val="000000"/>
          <w:u w:color="000000"/>
          <w:vertAlign w:val="superscript"/>
        </w:rPr>
        <w:footnoteReference w:id="8"/>
      </w:r>
      <w:r w:rsidRPr="003F7ADB">
        <w:t>, con la quale veniva assolto (oppure condannato) dal reato ascrittogli perché … … …</w:t>
      </w:r>
    </w:p>
    <w:p w14:paraId="6119CE10" w14:textId="77777777" w:rsidR="005A17E3" w:rsidRPr="003F7ADB" w:rsidRDefault="005A17E3" w:rsidP="005A17E3">
      <w:pPr>
        <w:pStyle w:val="CapoversoAtti"/>
      </w:pPr>
    </w:p>
    <w:p w14:paraId="6BCF6E7A" w14:textId="77777777" w:rsidR="005A17E3" w:rsidRPr="003F7ADB" w:rsidRDefault="005A17E3" w:rsidP="005A17E3">
      <w:pPr>
        <w:pStyle w:val="CapoversoAtti"/>
      </w:pPr>
    </w:p>
    <w:p w14:paraId="73B01969" w14:textId="77777777" w:rsidR="00F54196" w:rsidRPr="003F7ADB" w:rsidRDefault="00F54196" w:rsidP="005A17E3">
      <w:pPr>
        <w:pStyle w:val="CapoversoAtti"/>
      </w:pPr>
    </w:p>
    <w:p w14:paraId="45CBCDD3" w14:textId="77777777" w:rsidR="00F54196" w:rsidRPr="003F7ADB" w:rsidRDefault="00F54196" w:rsidP="005A17E3">
      <w:pPr>
        <w:pStyle w:val="CapoversoAtti"/>
      </w:pPr>
    </w:p>
    <w:p w14:paraId="4A4E3D82" w14:textId="77777777" w:rsidR="00510591" w:rsidRPr="003F7ADB" w:rsidRDefault="00510591" w:rsidP="005A17E3">
      <w:pPr>
        <w:pStyle w:val="CapoversoAtti"/>
        <w:jc w:val="center"/>
        <w:rPr>
          <w:i/>
        </w:rPr>
      </w:pPr>
      <w:r w:rsidRPr="003F7ADB">
        <w:rPr>
          <w:i/>
        </w:rPr>
        <w:lastRenderedPageBreak/>
        <w:t>Motivi</w:t>
      </w:r>
    </w:p>
    <w:p w14:paraId="369A8316" w14:textId="77777777" w:rsidR="00510591" w:rsidRPr="003F7ADB" w:rsidRDefault="00510591" w:rsidP="005A17E3">
      <w:pPr>
        <w:pStyle w:val="CapoversoAtti"/>
      </w:pPr>
    </w:p>
    <w:p w14:paraId="60A3BB2E" w14:textId="635EB4F9" w:rsidR="00510591" w:rsidRPr="003F7ADB" w:rsidRDefault="00510591" w:rsidP="005A17E3">
      <w:pPr>
        <w:pStyle w:val="CapoversoAtti"/>
      </w:pPr>
      <w:r w:rsidRPr="003F7ADB">
        <w:t>1. … … … (es. infondatezza dell</w:t>
      </w:r>
      <w:r w:rsidR="00650B84" w:rsidRPr="003F7ADB">
        <w:t>’</w:t>
      </w:r>
      <w:r w:rsidRPr="003F7ADB">
        <w:t>appello proposto da … … …)</w:t>
      </w:r>
    </w:p>
    <w:p w14:paraId="0450CBE6" w14:textId="2E6781C5" w:rsidR="00510591" w:rsidRPr="003F7ADB" w:rsidRDefault="00510591" w:rsidP="005A17E3">
      <w:pPr>
        <w:pStyle w:val="CapoversoAtti"/>
      </w:pPr>
      <w:r w:rsidRPr="003F7ADB">
        <w:t>2. … … … (oggetto dell</w:t>
      </w:r>
      <w:r w:rsidR="00650B84" w:rsidRPr="003F7ADB">
        <w:t>’</w:t>
      </w:r>
      <w:r w:rsidRPr="003F7ADB">
        <w:t>appello incidentale)</w:t>
      </w:r>
      <w:r w:rsidRPr="003F7ADB">
        <w:rPr>
          <w:snapToGrid w:val="0"/>
          <w:color w:val="000000"/>
          <w:u w:color="000000"/>
        </w:rPr>
        <w:t> </w:t>
      </w:r>
      <w:r w:rsidRPr="003F7ADB">
        <w:rPr>
          <w:snapToGrid w:val="0"/>
          <w:color w:val="000000"/>
          <w:u w:color="000000"/>
          <w:vertAlign w:val="superscript"/>
        </w:rPr>
        <w:footnoteReference w:id="9"/>
      </w:r>
    </w:p>
    <w:p w14:paraId="2AAAF785" w14:textId="77777777" w:rsidR="00510591" w:rsidRPr="003F7ADB" w:rsidRDefault="00510591" w:rsidP="005A17E3">
      <w:pPr>
        <w:pStyle w:val="CapoversoAtti"/>
      </w:pPr>
    </w:p>
    <w:p w14:paraId="7BE66F4C" w14:textId="77777777" w:rsidR="00510591" w:rsidRPr="003F7ADB" w:rsidRDefault="00510591" w:rsidP="005A17E3">
      <w:pPr>
        <w:pStyle w:val="CapoversoAtti"/>
      </w:pPr>
      <w:r w:rsidRPr="003F7ADB">
        <w:t>Per quanto sopra, chiede la conferma della sentenza di primo grado.</w:t>
      </w:r>
    </w:p>
    <w:p w14:paraId="5248A979" w14:textId="77777777" w:rsidR="00510591" w:rsidRPr="003F7ADB" w:rsidRDefault="00510591" w:rsidP="005A17E3">
      <w:pPr>
        <w:pStyle w:val="CapoversoAtti"/>
      </w:pPr>
    </w:p>
    <w:p w14:paraId="489A7254" w14:textId="77777777" w:rsidR="00510591" w:rsidRPr="003F7ADB" w:rsidRDefault="00510591" w:rsidP="005A17E3">
      <w:pPr>
        <w:pStyle w:val="CapoversoAtti"/>
      </w:pPr>
      <w:r w:rsidRPr="003F7ADB">
        <w:t>Luogo e data</w:t>
      </w:r>
    </w:p>
    <w:p w14:paraId="6820E584" w14:textId="77777777" w:rsidR="00510591" w:rsidRPr="003F7ADB" w:rsidRDefault="00510591" w:rsidP="005A17E3">
      <w:pPr>
        <w:pStyle w:val="CapoversoAtti"/>
        <w:jc w:val="right"/>
      </w:pPr>
      <w:r w:rsidRPr="003F7ADB">
        <w:t>Sottoscrizione del difensore</w:t>
      </w:r>
      <w:bookmarkStart w:id="0" w:name="_GoBack"/>
      <w:bookmarkEnd w:id="0"/>
    </w:p>
    <w:sectPr w:rsidR="00510591" w:rsidRPr="003F7ADB" w:rsidSect="005F15DB">
      <w:headerReference w:type="even" r:id="rId7"/>
      <w:headerReference w:type="default" r:id="rId8"/>
      <w:footerReference w:type="even" r:id="rId9"/>
      <w:footerReference w:type="default" r:id="rId10"/>
      <w:headerReference w:type="first" r:id="rId11"/>
      <w:footerReference w:type="first" r:id="rId12"/>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3EB2D" w14:textId="77777777" w:rsidR="009C57AD" w:rsidRDefault="009C57AD">
      <w:r>
        <w:separator/>
      </w:r>
    </w:p>
    <w:p w14:paraId="150221F9" w14:textId="77777777" w:rsidR="009C57AD" w:rsidRDefault="009C57AD"/>
    <w:p w14:paraId="0DDE146B" w14:textId="77777777" w:rsidR="009C57AD" w:rsidRDefault="009C57AD"/>
    <w:p w14:paraId="1BC200E0" w14:textId="77777777" w:rsidR="009C57AD" w:rsidRDefault="009C57AD"/>
  </w:endnote>
  <w:endnote w:type="continuationSeparator" w:id="0">
    <w:p w14:paraId="5EBC6CFC" w14:textId="77777777" w:rsidR="009C57AD" w:rsidRDefault="009C57AD">
      <w:r>
        <w:continuationSeparator/>
      </w:r>
    </w:p>
    <w:p w14:paraId="7DADF6C1" w14:textId="77777777" w:rsidR="009C57AD" w:rsidRDefault="009C57AD"/>
    <w:p w14:paraId="15E049F2" w14:textId="77777777" w:rsidR="009C57AD" w:rsidRDefault="009C57AD"/>
    <w:p w14:paraId="588177E5" w14:textId="77777777" w:rsidR="009C57AD" w:rsidRDefault="009C5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28D03" w14:textId="77777777" w:rsidR="00C619A3" w:rsidRDefault="00C619A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4E7EC" w14:textId="77777777" w:rsidR="00C619A3" w:rsidRDefault="00C619A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F68F4" w14:textId="77777777" w:rsidR="00C619A3" w:rsidRDefault="00C619A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C57AD" w14:paraId="3A04D9C8" w14:textId="77777777">
        <w:tc>
          <w:tcPr>
            <w:tcW w:w="1134" w:type="dxa"/>
            <w:tcBorders>
              <w:top w:val="nil"/>
              <w:left w:val="nil"/>
              <w:bottom w:val="single" w:sz="4" w:space="0" w:color="auto"/>
              <w:right w:val="nil"/>
            </w:tcBorders>
            <w:tcMar>
              <w:top w:w="0" w:type="dxa"/>
              <w:left w:w="0" w:type="dxa"/>
              <w:bottom w:w="0" w:type="dxa"/>
              <w:right w:w="0" w:type="dxa"/>
            </w:tcMar>
          </w:tcPr>
          <w:p w14:paraId="4D0AFFD1" w14:textId="77777777" w:rsidR="009C57AD" w:rsidRDefault="009C57AD" w:rsidP="00E0277F">
            <w:pPr>
              <w:pStyle w:val="Pidipagina"/>
              <w:spacing w:line="200" w:lineRule="exact"/>
              <w:rPr>
                <w:rFonts w:ascii="Simoncini Garamond" w:hAnsi="Simoncini Garamond" w:cs="Simoncini Garamond"/>
              </w:rPr>
            </w:pPr>
          </w:p>
        </w:tc>
      </w:tr>
    </w:tbl>
    <w:p w14:paraId="672393DD" w14:textId="77777777" w:rsidR="009C57AD" w:rsidRPr="00BC75D6" w:rsidRDefault="009C57AD"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9C57AD" w14:paraId="564DA3F4" w14:textId="77777777">
        <w:tc>
          <w:tcPr>
            <w:tcW w:w="1134" w:type="dxa"/>
            <w:tcBorders>
              <w:top w:val="nil"/>
              <w:left w:val="nil"/>
              <w:bottom w:val="single" w:sz="4" w:space="0" w:color="auto"/>
              <w:right w:val="nil"/>
            </w:tcBorders>
            <w:tcMar>
              <w:top w:w="0" w:type="dxa"/>
              <w:left w:w="0" w:type="dxa"/>
              <w:bottom w:w="0" w:type="dxa"/>
              <w:right w:w="0" w:type="dxa"/>
            </w:tcMar>
          </w:tcPr>
          <w:p w14:paraId="3A2C733C" w14:textId="77777777" w:rsidR="009C57AD" w:rsidRDefault="009C57AD" w:rsidP="00E0277F">
            <w:pPr>
              <w:pStyle w:val="Pidipagina"/>
              <w:spacing w:line="200" w:lineRule="exact"/>
              <w:rPr>
                <w:rFonts w:ascii="Simoncini Garamond" w:hAnsi="Simoncini Garamond" w:cs="Simoncini Garamond"/>
              </w:rPr>
            </w:pPr>
          </w:p>
        </w:tc>
      </w:tr>
    </w:tbl>
    <w:p w14:paraId="7B97BBB4" w14:textId="77777777" w:rsidR="009C57AD" w:rsidRPr="00BC75D6" w:rsidRDefault="009C57AD" w:rsidP="00BC75D6">
      <w:pPr>
        <w:spacing w:line="100" w:lineRule="exact"/>
        <w:rPr>
          <w:sz w:val="10"/>
          <w:szCs w:val="10"/>
        </w:rPr>
      </w:pPr>
    </w:p>
  </w:footnote>
  <w:footnote w:id="1">
    <w:p w14:paraId="2E579D42" w14:textId="41280C73"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Ai sensi dell’art. 595, commi 1 e 2, c.p.p., l’appello incidentale è proposto con le stesse forme e modalità dell’impugnazione principale entro quindici giorni dalla comunicazione o notificazione dell’appello principale. Per un maggior approfondimento delle modalità di presentazione delle impugnazioni si veda </w:t>
      </w:r>
      <w:r w:rsidRPr="00666AE7">
        <w:rPr>
          <w:iCs/>
          <w:sz w:val="16"/>
          <w:szCs w:val="16"/>
        </w:rPr>
        <w:t>Quadro essenziale</w:t>
      </w:r>
      <w:r w:rsidRPr="00666AE7">
        <w:rPr>
          <w:sz w:val="16"/>
          <w:szCs w:val="16"/>
        </w:rPr>
        <w:t xml:space="preserve"> </w:t>
      </w:r>
      <w:r w:rsidRPr="00666AE7">
        <w:rPr>
          <w:i/>
          <w:sz w:val="16"/>
          <w:szCs w:val="16"/>
        </w:rPr>
        <w:t>sub</w:t>
      </w:r>
      <w:r w:rsidRPr="00666AE7">
        <w:rPr>
          <w:sz w:val="16"/>
          <w:szCs w:val="16"/>
        </w:rPr>
        <w:t xml:space="preserve"> artt. 568-592 c.p.p.</w:t>
      </w:r>
    </w:p>
  </w:footnote>
  <w:footnote w:id="2">
    <w:p w14:paraId="7238AF36" w14:textId="27D8BFB1"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L’appello può essere proposto, oltre che dal difensore, personalmente dall’imputato o da un suo procuratore speciale (art. 571 c.p.p.). In quest’ultimo caso la procura deve essere conferita con i modi e le forme di cui all’art. 122 c.p.p. </w:t>
      </w:r>
    </w:p>
  </w:footnote>
  <w:footnote w:id="3">
    <w:p w14:paraId="03A69A57" w14:textId="77777777"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Oppure della parte civile, del querelante, del responsabile civile, del civilmente obbligato per la pena pecuniaria. </w:t>
      </w:r>
    </w:p>
  </w:footnote>
  <w:footnote w:id="4">
    <w:p w14:paraId="297BA87D" w14:textId="1B50619D"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Oppure dalla parte civile, dal querelante, dall’imputato, dal responsabile civile, dal civilmente obbligato per la pena pecuniaria. </w:t>
      </w:r>
    </w:p>
  </w:footnote>
  <w:footnote w:id="5">
    <w:p w14:paraId="07FB95AF" w14:textId="77777777"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Vedi Quadro essenziale § VI.</w:t>
      </w:r>
    </w:p>
  </w:footnote>
  <w:footnote w:id="6">
    <w:p w14:paraId="59AA1EFC" w14:textId="49940C37"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 xml:space="preserve">Indicare con esattezza gli estremi del provvedimento che si impugna: </w:t>
      </w:r>
      <w:r w:rsidR="00A4007F">
        <w:rPr>
          <w:sz w:val="16"/>
          <w:szCs w:val="16"/>
        </w:rPr>
        <w:t>Giudice</w:t>
      </w:r>
      <w:r w:rsidRPr="00666AE7">
        <w:rPr>
          <w:sz w:val="16"/>
          <w:szCs w:val="16"/>
        </w:rPr>
        <w:t xml:space="preserve"> che lo ha emesso, data e numero del procedimento.</w:t>
      </w:r>
      <w:hyperlink r:id="rId1" w:history="1">
        <w:r w:rsidRPr="00666AE7">
          <w:rPr>
            <w:rStyle w:val="Collegamentoipertestuale"/>
            <w:i/>
            <w:color w:val="auto"/>
            <w:sz w:val="16"/>
            <w:szCs w:val="16"/>
          </w:rPr>
          <w:t xml:space="preserve"> </w:t>
        </w:r>
      </w:hyperlink>
      <w:r w:rsidRPr="00666AE7">
        <w:rPr>
          <w:sz w:val="16"/>
          <w:szCs w:val="16"/>
        </w:rPr>
        <w:t xml:space="preserve"> </w:t>
      </w:r>
    </w:p>
  </w:footnote>
  <w:footnote w:id="7">
    <w:p w14:paraId="6E737D2A" w14:textId="00FD8A00" w:rsidR="007C6801" w:rsidRPr="00666AE7" w:rsidRDefault="007C6801" w:rsidP="005A17E3">
      <w:pPr>
        <w:pStyle w:val="Testonotaapidipagina"/>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Oppure dal Giudice dell’udienza preliminare di … … …; Corte di assise di … … …; Giudice di pace di … … …</w:t>
      </w:r>
    </w:p>
  </w:footnote>
  <w:footnote w:id="8">
    <w:p w14:paraId="5F95A95E" w14:textId="17032BDD" w:rsidR="007C6801" w:rsidRPr="00666AE7" w:rsidRDefault="007C6801" w:rsidP="005A17E3">
      <w:pPr>
        <w:pStyle w:val="Testonotaapidipagina"/>
        <w:widowControl w:val="0"/>
        <w:spacing w:before="60" w:line="185" w:lineRule="exact"/>
        <w:ind w:firstLine="284"/>
        <w:jc w:val="both"/>
        <w:rPr>
          <w:spacing w:val="-2"/>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pacing w:val="-2"/>
          <w:sz w:val="16"/>
          <w:szCs w:val="16"/>
        </w:rPr>
        <w:t xml:space="preserve">Tra i requisiti formali previsti a pena di inammissibilità dall’art. 581 c.p.p. vi è anche la indicazione della data del provvedimento impugnato, la quale serve ad individuare con esattezza il provvedimento del </w:t>
      </w:r>
      <w:r w:rsidR="00A4007F">
        <w:rPr>
          <w:spacing w:val="-2"/>
          <w:sz w:val="16"/>
          <w:szCs w:val="16"/>
        </w:rPr>
        <w:t>Giudice</w:t>
      </w:r>
      <w:r w:rsidRPr="00666AE7">
        <w:rPr>
          <w:spacing w:val="-2"/>
          <w:sz w:val="16"/>
          <w:szCs w:val="16"/>
        </w:rPr>
        <w:t xml:space="preserve"> che viene impugnato. Tuttavia, qualora dal complesso degli elementi identificativi richiamati nell’atto di impugnazione sia determinabile in modo inequivocabile il provvedimento impugnato, l’omessa indicazione della data non può essere considerata causa di inammissibilità dell’im</w:t>
      </w:r>
      <w:r>
        <w:rPr>
          <w:spacing w:val="-2"/>
          <w:sz w:val="16"/>
          <w:szCs w:val="16"/>
        </w:rPr>
        <w:softHyphen/>
      </w:r>
      <w:r w:rsidRPr="00666AE7">
        <w:rPr>
          <w:spacing w:val="-2"/>
          <w:sz w:val="16"/>
          <w:szCs w:val="16"/>
        </w:rPr>
        <w:t>pu</w:t>
      </w:r>
      <w:r>
        <w:rPr>
          <w:spacing w:val="-2"/>
          <w:sz w:val="16"/>
          <w:szCs w:val="16"/>
        </w:rPr>
        <w:softHyphen/>
      </w:r>
      <w:r w:rsidRPr="00666AE7">
        <w:rPr>
          <w:spacing w:val="-2"/>
          <w:sz w:val="16"/>
          <w:szCs w:val="16"/>
        </w:rPr>
        <w:t>gnazione (</w:t>
      </w:r>
      <w:proofErr w:type="spellStart"/>
      <w:proofErr w:type="gramStart"/>
      <w:r w:rsidRPr="00666AE7">
        <w:rPr>
          <w:spacing w:val="-2"/>
          <w:sz w:val="16"/>
          <w:szCs w:val="16"/>
        </w:rPr>
        <w:t>Cass</w:t>
      </w:r>
      <w:proofErr w:type="spellEnd"/>
      <w:r w:rsidRPr="00666AE7">
        <w:rPr>
          <w:spacing w:val="-2"/>
          <w:sz w:val="16"/>
          <w:szCs w:val="16"/>
        </w:rPr>
        <w:t>.,</w:t>
      </w:r>
      <w:proofErr w:type="gramEnd"/>
      <w:r w:rsidRPr="00666AE7">
        <w:rPr>
          <w:spacing w:val="-2"/>
          <w:sz w:val="16"/>
          <w:szCs w:val="16"/>
        </w:rPr>
        <w:t xml:space="preserve"> sez. I, 7 ottobre 1997, </w:t>
      </w:r>
      <w:proofErr w:type="spellStart"/>
      <w:r w:rsidRPr="00666AE7">
        <w:rPr>
          <w:spacing w:val="-2"/>
          <w:sz w:val="16"/>
          <w:szCs w:val="16"/>
        </w:rPr>
        <w:t>Aloi</w:t>
      </w:r>
      <w:proofErr w:type="spellEnd"/>
      <w:r w:rsidRPr="00666AE7">
        <w:rPr>
          <w:spacing w:val="-2"/>
          <w:sz w:val="16"/>
          <w:szCs w:val="16"/>
        </w:rPr>
        <w:t xml:space="preserve">, </w:t>
      </w:r>
      <w:proofErr w:type="spellStart"/>
      <w:r w:rsidRPr="00666AE7">
        <w:rPr>
          <w:i/>
          <w:spacing w:val="-2"/>
          <w:sz w:val="16"/>
          <w:szCs w:val="16"/>
        </w:rPr>
        <w:t>Cass</w:t>
      </w:r>
      <w:proofErr w:type="spellEnd"/>
      <w:r w:rsidRPr="00666AE7">
        <w:rPr>
          <w:i/>
          <w:spacing w:val="-2"/>
          <w:sz w:val="16"/>
          <w:szCs w:val="16"/>
        </w:rPr>
        <w:t xml:space="preserve">. </w:t>
      </w:r>
      <w:proofErr w:type="spellStart"/>
      <w:proofErr w:type="gramStart"/>
      <w:r w:rsidRPr="00666AE7">
        <w:rPr>
          <w:i/>
          <w:spacing w:val="-2"/>
          <w:sz w:val="16"/>
          <w:szCs w:val="16"/>
        </w:rPr>
        <w:t>pen</w:t>
      </w:r>
      <w:proofErr w:type="spellEnd"/>
      <w:r w:rsidRPr="00666AE7">
        <w:rPr>
          <w:spacing w:val="-2"/>
          <w:sz w:val="16"/>
          <w:szCs w:val="16"/>
        </w:rPr>
        <w:t>.,</w:t>
      </w:r>
      <w:proofErr w:type="gramEnd"/>
      <w:r w:rsidRPr="00666AE7">
        <w:rPr>
          <w:spacing w:val="-2"/>
          <w:sz w:val="16"/>
          <w:szCs w:val="16"/>
        </w:rPr>
        <w:t xml:space="preserve"> 1998, 2061).</w:t>
      </w:r>
    </w:p>
  </w:footnote>
  <w:footnote w:id="9">
    <w:p w14:paraId="0B8F77C2" w14:textId="46F96487" w:rsidR="007C6801" w:rsidRPr="00666AE7" w:rsidRDefault="007C6801" w:rsidP="005A17E3">
      <w:pPr>
        <w:widowControl w:val="0"/>
        <w:spacing w:before="60" w:line="185" w:lineRule="exact"/>
        <w:ind w:firstLine="284"/>
        <w:jc w:val="both"/>
        <w:rPr>
          <w:sz w:val="16"/>
          <w:szCs w:val="16"/>
        </w:rPr>
      </w:pPr>
      <w:r w:rsidRPr="00666AE7">
        <w:rPr>
          <w:rStyle w:val="Rimandonotaapidipagina"/>
          <w:snapToGrid w:val="0"/>
          <w:sz w:val="16"/>
          <w:szCs w:val="16"/>
          <w:u w:color="000000"/>
        </w:rPr>
        <w:footnoteRef/>
      </w:r>
      <w:r w:rsidRPr="00666AE7">
        <w:rPr>
          <w:snapToGrid w:val="0"/>
          <w:sz w:val="16"/>
          <w:szCs w:val="16"/>
          <w:u w:color="000000"/>
        </w:rPr>
        <w:t> </w:t>
      </w:r>
      <w:r w:rsidRPr="00666AE7">
        <w:rPr>
          <w:sz w:val="16"/>
          <w:szCs w:val="16"/>
        </w:rPr>
        <w:t>L’appello incidentale può essere proposto soltanto in relazione ai punti della decisione oggetto dell’appello principale nonché a quelli che hanno connessione essenziale con essi (</w:t>
      </w:r>
      <w:proofErr w:type="spellStart"/>
      <w:proofErr w:type="gramStart"/>
      <w:r w:rsidRPr="00666AE7">
        <w:rPr>
          <w:sz w:val="16"/>
          <w:szCs w:val="16"/>
        </w:rPr>
        <w:t>Cass</w:t>
      </w:r>
      <w:proofErr w:type="spellEnd"/>
      <w:r w:rsidRPr="00666AE7">
        <w:rPr>
          <w:sz w:val="16"/>
          <w:szCs w:val="16"/>
        </w:rPr>
        <w:t>.,</w:t>
      </w:r>
      <w:proofErr w:type="gramEnd"/>
      <w:r w:rsidRPr="00666AE7">
        <w:rPr>
          <w:sz w:val="16"/>
          <w:szCs w:val="16"/>
        </w:rPr>
        <w:t xml:space="preserve"> </w:t>
      </w:r>
      <w:r w:rsidRPr="00666AE7">
        <w:rPr>
          <w:b/>
          <w:sz w:val="16"/>
          <w:szCs w:val="16"/>
        </w:rPr>
        <w:t>sez. un.</w:t>
      </w:r>
      <w:r w:rsidRPr="00666AE7">
        <w:rPr>
          <w:sz w:val="16"/>
          <w:szCs w:val="16"/>
        </w:rPr>
        <w:t xml:space="preserve">, 9 marzo 2007, </w:t>
      </w:r>
      <w:proofErr w:type="spellStart"/>
      <w:r w:rsidRPr="00666AE7">
        <w:rPr>
          <w:i/>
          <w:sz w:val="16"/>
          <w:szCs w:val="16"/>
        </w:rPr>
        <w:t>Riv</w:t>
      </w:r>
      <w:proofErr w:type="spellEnd"/>
      <w:r w:rsidRPr="00666AE7">
        <w:rPr>
          <w:i/>
          <w:sz w:val="16"/>
          <w:szCs w:val="16"/>
        </w:rPr>
        <w:t xml:space="preserve">. </w:t>
      </w:r>
      <w:proofErr w:type="spellStart"/>
      <w:proofErr w:type="gramStart"/>
      <w:r w:rsidRPr="00666AE7">
        <w:rPr>
          <w:i/>
          <w:sz w:val="16"/>
          <w:szCs w:val="16"/>
        </w:rPr>
        <w:t>pen</w:t>
      </w:r>
      <w:proofErr w:type="spellEnd"/>
      <w:r w:rsidRPr="00666AE7">
        <w:rPr>
          <w:i/>
          <w:sz w:val="16"/>
          <w:szCs w:val="16"/>
        </w:rPr>
        <w:t>.</w:t>
      </w:r>
      <w:r w:rsidRPr="00666AE7">
        <w:rPr>
          <w:sz w:val="16"/>
          <w:szCs w:val="16"/>
        </w:rPr>
        <w:t>,</w:t>
      </w:r>
      <w:proofErr w:type="gramEnd"/>
      <w:r w:rsidRPr="00666AE7">
        <w:rPr>
          <w:sz w:val="16"/>
          <w:szCs w:val="16"/>
        </w:rPr>
        <w:t xml:space="preserve"> 2007, 10, 1044). Qualora la parte civile proponga appello principale avverso una sentenza di proscioglimento, chiedendo l’affermazione della responsabilità dell’imputato agli effetti civili, con condanna al risarcimento dei danni ed alla rifusione delle spese, è ammissibile l’ap</w:t>
      </w:r>
      <w:r>
        <w:rPr>
          <w:sz w:val="16"/>
          <w:szCs w:val="16"/>
        </w:rPr>
        <w:softHyphen/>
      </w:r>
      <w:r w:rsidRPr="00666AE7">
        <w:rPr>
          <w:sz w:val="16"/>
          <w:szCs w:val="16"/>
        </w:rPr>
        <w:t xml:space="preserve">pello incidentale dello stesso imputato, volto ad ottenere la condanna della parte civile al pagamento delle spese del giudizio di primo grado, relativamente alle quali il </w:t>
      </w:r>
      <w:r w:rsidR="00A4007F">
        <w:rPr>
          <w:sz w:val="16"/>
          <w:szCs w:val="16"/>
        </w:rPr>
        <w:t>Giudice</w:t>
      </w:r>
      <w:r w:rsidRPr="00666AE7">
        <w:rPr>
          <w:sz w:val="16"/>
          <w:szCs w:val="16"/>
        </w:rPr>
        <w:t xml:space="preserve"> aveva omesso di provvedere, dovendosi ritenere che siffatta richiesta investa un punto – e cioè quello relativo ai rapporti tra le parti in ordine alle spese – ricompreso nell’oggetto dell’impugnazione principale (</w:t>
      </w:r>
      <w:proofErr w:type="spellStart"/>
      <w:r w:rsidRPr="00666AE7">
        <w:rPr>
          <w:sz w:val="16"/>
          <w:szCs w:val="16"/>
        </w:rPr>
        <w:t>Cass</w:t>
      </w:r>
      <w:proofErr w:type="spellEnd"/>
      <w:r w:rsidRPr="00666AE7">
        <w:rPr>
          <w:sz w:val="16"/>
          <w:szCs w:val="16"/>
        </w:rPr>
        <w:t xml:space="preserve">., sez. V, 6 agosto 2004, </w:t>
      </w:r>
      <w:r w:rsidRPr="00666AE7">
        <w:rPr>
          <w:i/>
          <w:sz w:val="16"/>
          <w:szCs w:val="16"/>
        </w:rPr>
        <w:t xml:space="preserve">CED </w:t>
      </w:r>
      <w:proofErr w:type="spellStart"/>
      <w:r w:rsidRPr="00666AE7">
        <w:rPr>
          <w:i/>
          <w:sz w:val="16"/>
          <w:szCs w:val="16"/>
        </w:rPr>
        <w:t>Cass</w:t>
      </w:r>
      <w:proofErr w:type="spellEnd"/>
      <w:r w:rsidRPr="00666AE7">
        <w:rPr>
          <w:i/>
          <w:sz w:val="16"/>
          <w:szCs w:val="16"/>
        </w:rPr>
        <w:t>.</w:t>
      </w:r>
      <w:r w:rsidRPr="00666AE7">
        <w:rPr>
          <w:sz w:val="16"/>
          <w:szCs w:val="16"/>
        </w:rPr>
        <w:t xml:space="preserve">, 229557).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DACBA" w14:textId="344A16E8" w:rsidR="007C6801" w:rsidRPr="00C619A3" w:rsidRDefault="007C6801" w:rsidP="00C619A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06FC9" w14:textId="77777777" w:rsidR="007C6801" w:rsidRDefault="007C6801" w:rsidP="008F1ACA">
    <w:pPr>
      <w:pStyle w:val="Intestazione"/>
      <w:tabs>
        <w:tab w:val="clear" w:pos="4819"/>
        <w:tab w:val="center" w:pos="3119"/>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7C213" w14:textId="77777777" w:rsidR="00C619A3" w:rsidRDefault="00C619A3">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26173"/>
    <w:rsid w:val="0004427C"/>
    <w:rsid w:val="0004551D"/>
    <w:rsid w:val="00052F04"/>
    <w:rsid w:val="000625B7"/>
    <w:rsid w:val="00073BAC"/>
    <w:rsid w:val="000B24D8"/>
    <w:rsid w:val="000B3932"/>
    <w:rsid w:val="000C33AA"/>
    <w:rsid w:val="000C394F"/>
    <w:rsid w:val="000E375D"/>
    <w:rsid w:val="00103859"/>
    <w:rsid w:val="001148B4"/>
    <w:rsid w:val="00115484"/>
    <w:rsid w:val="00115BF0"/>
    <w:rsid w:val="00116244"/>
    <w:rsid w:val="00116557"/>
    <w:rsid w:val="00136BD5"/>
    <w:rsid w:val="001571E4"/>
    <w:rsid w:val="00160F26"/>
    <w:rsid w:val="00182A74"/>
    <w:rsid w:val="00185D1E"/>
    <w:rsid w:val="0018745C"/>
    <w:rsid w:val="001A00F1"/>
    <w:rsid w:val="001B1D80"/>
    <w:rsid w:val="001B5EAC"/>
    <w:rsid w:val="001B7DB2"/>
    <w:rsid w:val="001C6E6F"/>
    <w:rsid w:val="001E0CA1"/>
    <w:rsid w:val="001E71F0"/>
    <w:rsid w:val="001F5F4C"/>
    <w:rsid w:val="001F7563"/>
    <w:rsid w:val="002012CC"/>
    <w:rsid w:val="0021303E"/>
    <w:rsid w:val="00224F99"/>
    <w:rsid w:val="0023575D"/>
    <w:rsid w:val="00246703"/>
    <w:rsid w:val="00266FAE"/>
    <w:rsid w:val="00272F0D"/>
    <w:rsid w:val="002738C9"/>
    <w:rsid w:val="00277093"/>
    <w:rsid w:val="0029322A"/>
    <w:rsid w:val="002A43B7"/>
    <w:rsid w:val="002A5046"/>
    <w:rsid w:val="002A5519"/>
    <w:rsid w:val="002D7F74"/>
    <w:rsid w:val="002E7219"/>
    <w:rsid w:val="002F08F1"/>
    <w:rsid w:val="002F2CB9"/>
    <w:rsid w:val="002F30B5"/>
    <w:rsid w:val="002F46F9"/>
    <w:rsid w:val="00302D8E"/>
    <w:rsid w:val="003040CC"/>
    <w:rsid w:val="003178E8"/>
    <w:rsid w:val="003212AC"/>
    <w:rsid w:val="00342404"/>
    <w:rsid w:val="00355020"/>
    <w:rsid w:val="00356667"/>
    <w:rsid w:val="0037282E"/>
    <w:rsid w:val="00390B4B"/>
    <w:rsid w:val="003B1579"/>
    <w:rsid w:val="003B69D6"/>
    <w:rsid w:val="003B6C64"/>
    <w:rsid w:val="003C25B8"/>
    <w:rsid w:val="003C5F94"/>
    <w:rsid w:val="003C70F2"/>
    <w:rsid w:val="003F7ADB"/>
    <w:rsid w:val="0040145D"/>
    <w:rsid w:val="004058F6"/>
    <w:rsid w:val="00411911"/>
    <w:rsid w:val="0041352E"/>
    <w:rsid w:val="00416841"/>
    <w:rsid w:val="0042440B"/>
    <w:rsid w:val="00436FE8"/>
    <w:rsid w:val="0044568F"/>
    <w:rsid w:val="00445D23"/>
    <w:rsid w:val="00447EA0"/>
    <w:rsid w:val="00452DFF"/>
    <w:rsid w:val="0045770A"/>
    <w:rsid w:val="004772B7"/>
    <w:rsid w:val="0048140E"/>
    <w:rsid w:val="00483D7E"/>
    <w:rsid w:val="00484006"/>
    <w:rsid w:val="00490861"/>
    <w:rsid w:val="00495E04"/>
    <w:rsid w:val="004A3E08"/>
    <w:rsid w:val="004D00C5"/>
    <w:rsid w:val="004E7DC4"/>
    <w:rsid w:val="004F5617"/>
    <w:rsid w:val="0050199D"/>
    <w:rsid w:val="00510591"/>
    <w:rsid w:val="005224AF"/>
    <w:rsid w:val="005241E9"/>
    <w:rsid w:val="00531CC2"/>
    <w:rsid w:val="00532064"/>
    <w:rsid w:val="005327E5"/>
    <w:rsid w:val="00534902"/>
    <w:rsid w:val="00541E69"/>
    <w:rsid w:val="00552742"/>
    <w:rsid w:val="00552E9F"/>
    <w:rsid w:val="00553119"/>
    <w:rsid w:val="0057045E"/>
    <w:rsid w:val="00570BE5"/>
    <w:rsid w:val="00580036"/>
    <w:rsid w:val="00583EA9"/>
    <w:rsid w:val="0058757A"/>
    <w:rsid w:val="00591956"/>
    <w:rsid w:val="00596E9F"/>
    <w:rsid w:val="00597B2C"/>
    <w:rsid w:val="005A03A9"/>
    <w:rsid w:val="005A17E3"/>
    <w:rsid w:val="005B7EA8"/>
    <w:rsid w:val="005E082B"/>
    <w:rsid w:val="005E1D4E"/>
    <w:rsid w:val="005F0A89"/>
    <w:rsid w:val="005F15DB"/>
    <w:rsid w:val="005F7F44"/>
    <w:rsid w:val="00600446"/>
    <w:rsid w:val="006007E6"/>
    <w:rsid w:val="0060316E"/>
    <w:rsid w:val="00620DB6"/>
    <w:rsid w:val="006233F3"/>
    <w:rsid w:val="00625790"/>
    <w:rsid w:val="00636609"/>
    <w:rsid w:val="0065098D"/>
    <w:rsid w:val="00650B84"/>
    <w:rsid w:val="006534D4"/>
    <w:rsid w:val="006544E2"/>
    <w:rsid w:val="00654F45"/>
    <w:rsid w:val="00660598"/>
    <w:rsid w:val="0066560F"/>
    <w:rsid w:val="00666AE7"/>
    <w:rsid w:val="006745BF"/>
    <w:rsid w:val="00675199"/>
    <w:rsid w:val="006844D6"/>
    <w:rsid w:val="0069030D"/>
    <w:rsid w:val="00692BF5"/>
    <w:rsid w:val="006A4DF4"/>
    <w:rsid w:val="006C22D9"/>
    <w:rsid w:val="006D1867"/>
    <w:rsid w:val="006D6F7C"/>
    <w:rsid w:val="006D7C60"/>
    <w:rsid w:val="006E0166"/>
    <w:rsid w:val="006E076B"/>
    <w:rsid w:val="006E1829"/>
    <w:rsid w:val="006F03ED"/>
    <w:rsid w:val="006F2325"/>
    <w:rsid w:val="006F3548"/>
    <w:rsid w:val="00700F9E"/>
    <w:rsid w:val="00701CB7"/>
    <w:rsid w:val="0070298A"/>
    <w:rsid w:val="0071168E"/>
    <w:rsid w:val="007270F9"/>
    <w:rsid w:val="00730D8D"/>
    <w:rsid w:val="00730EC3"/>
    <w:rsid w:val="00746538"/>
    <w:rsid w:val="0074785F"/>
    <w:rsid w:val="00761B60"/>
    <w:rsid w:val="00765080"/>
    <w:rsid w:val="007663CA"/>
    <w:rsid w:val="007664F6"/>
    <w:rsid w:val="00772792"/>
    <w:rsid w:val="00775613"/>
    <w:rsid w:val="00775C97"/>
    <w:rsid w:val="007812B6"/>
    <w:rsid w:val="0079169C"/>
    <w:rsid w:val="007943D2"/>
    <w:rsid w:val="007A01F7"/>
    <w:rsid w:val="007A6513"/>
    <w:rsid w:val="007C1D50"/>
    <w:rsid w:val="007C5D21"/>
    <w:rsid w:val="007C6801"/>
    <w:rsid w:val="007D2D86"/>
    <w:rsid w:val="007E2132"/>
    <w:rsid w:val="007E38D9"/>
    <w:rsid w:val="007E79B6"/>
    <w:rsid w:val="007F3B90"/>
    <w:rsid w:val="00812D40"/>
    <w:rsid w:val="00816BDA"/>
    <w:rsid w:val="0082617E"/>
    <w:rsid w:val="00833DD3"/>
    <w:rsid w:val="008416A1"/>
    <w:rsid w:val="00862974"/>
    <w:rsid w:val="00881C16"/>
    <w:rsid w:val="00882AB0"/>
    <w:rsid w:val="008849FF"/>
    <w:rsid w:val="00893CA6"/>
    <w:rsid w:val="00894761"/>
    <w:rsid w:val="00896B0F"/>
    <w:rsid w:val="008B189F"/>
    <w:rsid w:val="008C7B7B"/>
    <w:rsid w:val="008D6DA2"/>
    <w:rsid w:val="008E35DA"/>
    <w:rsid w:val="008F0D74"/>
    <w:rsid w:val="008F1ACA"/>
    <w:rsid w:val="008F3CC7"/>
    <w:rsid w:val="008F6DF4"/>
    <w:rsid w:val="0091400B"/>
    <w:rsid w:val="00921774"/>
    <w:rsid w:val="0093177E"/>
    <w:rsid w:val="00937C18"/>
    <w:rsid w:val="00940028"/>
    <w:rsid w:val="009632C5"/>
    <w:rsid w:val="00963F76"/>
    <w:rsid w:val="00966FF8"/>
    <w:rsid w:val="00967B22"/>
    <w:rsid w:val="00972A19"/>
    <w:rsid w:val="00973015"/>
    <w:rsid w:val="009840A3"/>
    <w:rsid w:val="009B598D"/>
    <w:rsid w:val="009C0A1E"/>
    <w:rsid w:val="009C57AD"/>
    <w:rsid w:val="009C77D1"/>
    <w:rsid w:val="009E05CD"/>
    <w:rsid w:val="009E1E4A"/>
    <w:rsid w:val="009E543D"/>
    <w:rsid w:val="00A07FC2"/>
    <w:rsid w:val="00A2118C"/>
    <w:rsid w:val="00A22655"/>
    <w:rsid w:val="00A4007F"/>
    <w:rsid w:val="00A6074F"/>
    <w:rsid w:val="00A706EC"/>
    <w:rsid w:val="00A718EB"/>
    <w:rsid w:val="00A84308"/>
    <w:rsid w:val="00AB03D6"/>
    <w:rsid w:val="00AB73DB"/>
    <w:rsid w:val="00AC7BCC"/>
    <w:rsid w:val="00AD1D1C"/>
    <w:rsid w:val="00AE1D83"/>
    <w:rsid w:val="00AF30EA"/>
    <w:rsid w:val="00B115C6"/>
    <w:rsid w:val="00B16B93"/>
    <w:rsid w:val="00B32178"/>
    <w:rsid w:val="00B3445A"/>
    <w:rsid w:val="00B42343"/>
    <w:rsid w:val="00B44764"/>
    <w:rsid w:val="00B542A1"/>
    <w:rsid w:val="00B671EB"/>
    <w:rsid w:val="00B70EC1"/>
    <w:rsid w:val="00B9216E"/>
    <w:rsid w:val="00BA2BBD"/>
    <w:rsid w:val="00BB3AA9"/>
    <w:rsid w:val="00BC75D6"/>
    <w:rsid w:val="00BE6BE0"/>
    <w:rsid w:val="00BF4AF7"/>
    <w:rsid w:val="00C03C67"/>
    <w:rsid w:val="00C12C42"/>
    <w:rsid w:val="00C137EB"/>
    <w:rsid w:val="00C161E1"/>
    <w:rsid w:val="00C2203B"/>
    <w:rsid w:val="00C274BF"/>
    <w:rsid w:val="00C32EE6"/>
    <w:rsid w:val="00C3392E"/>
    <w:rsid w:val="00C339DF"/>
    <w:rsid w:val="00C37167"/>
    <w:rsid w:val="00C448E8"/>
    <w:rsid w:val="00C6004F"/>
    <w:rsid w:val="00C619A3"/>
    <w:rsid w:val="00C678AA"/>
    <w:rsid w:val="00C72052"/>
    <w:rsid w:val="00C74914"/>
    <w:rsid w:val="00C75B2B"/>
    <w:rsid w:val="00C7738D"/>
    <w:rsid w:val="00C83170"/>
    <w:rsid w:val="00C870CC"/>
    <w:rsid w:val="00CA209A"/>
    <w:rsid w:val="00CA4CC9"/>
    <w:rsid w:val="00CA65CC"/>
    <w:rsid w:val="00CA6C63"/>
    <w:rsid w:val="00CB0897"/>
    <w:rsid w:val="00CB331B"/>
    <w:rsid w:val="00CC015F"/>
    <w:rsid w:val="00CD45AF"/>
    <w:rsid w:val="00CD5C2B"/>
    <w:rsid w:val="00CE28C8"/>
    <w:rsid w:val="00D0114D"/>
    <w:rsid w:val="00D012CB"/>
    <w:rsid w:val="00D1310D"/>
    <w:rsid w:val="00D2352E"/>
    <w:rsid w:val="00D252B9"/>
    <w:rsid w:val="00D2707F"/>
    <w:rsid w:val="00D46EDF"/>
    <w:rsid w:val="00D50A84"/>
    <w:rsid w:val="00D6675A"/>
    <w:rsid w:val="00D7166A"/>
    <w:rsid w:val="00D76037"/>
    <w:rsid w:val="00D9164F"/>
    <w:rsid w:val="00D92C68"/>
    <w:rsid w:val="00D95BFE"/>
    <w:rsid w:val="00DA69B8"/>
    <w:rsid w:val="00DA713B"/>
    <w:rsid w:val="00DC0B05"/>
    <w:rsid w:val="00DC53D8"/>
    <w:rsid w:val="00DD44AA"/>
    <w:rsid w:val="00DE2519"/>
    <w:rsid w:val="00DF1546"/>
    <w:rsid w:val="00E02035"/>
    <w:rsid w:val="00E0277F"/>
    <w:rsid w:val="00E11D61"/>
    <w:rsid w:val="00E14D6A"/>
    <w:rsid w:val="00E22556"/>
    <w:rsid w:val="00E31828"/>
    <w:rsid w:val="00E35391"/>
    <w:rsid w:val="00E40904"/>
    <w:rsid w:val="00E478C0"/>
    <w:rsid w:val="00E6162E"/>
    <w:rsid w:val="00E7741A"/>
    <w:rsid w:val="00E9363C"/>
    <w:rsid w:val="00E96E43"/>
    <w:rsid w:val="00EA3249"/>
    <w:rsid w:val="00EA3B7B"/>
    <w:rsid w:val="00EB2994"/>
    <w:rsid w:val="00EB3B03"/>
    <w:rsid w:val="00EC175C"/>
    <w:rsid w:val="00EC45CD"/>
    <w:rsid w:val="00EE5575"/>
    <w:rsid w:val="00EF3605"/>
    <w:rsid w:val="00EF548C"/>
    <w:rsid w:val="00F00D40"/>
    <w:rsid w:val="00F139CC"/>
    <w:rsid w:val="00F21CE2"/>
    <w:rsid w:val="00F34B50"/>
    <w:rsid w:val="00F3742D"/>
    <w:rsid w:val="00F47E4C"/>
    <w:rsid w:val="00F52E18"/>
    <w:rsid w:val="00F54196"/>
    <w:rsid w:val="00F55B4C"/>
    <w:rsid w:val="00F62B18"/>
    <w:rsid w:val="00F649C3"/>
    <w:rsid w:val="00F73B75"/>
    <w:rsid w:val="00F76A29"/>
    <w:rsid w:val="00F85F38"/>
    <w:rsid w:val="00F866C4"/>
    <w:rsid w:val="00F90EBB"/>
    <w:rsid w:val="00F97CCA"/>
    <w:rsid w:val="00FA09A5"/>
    <w:rsid w:val="00FA19BF"/>
    <w:rsid w:val="00FA6FB3"/>
    <w:rsid w:val="00FB5388"/>
    <w:rsid w:val="00FC5ED5"/>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299681"/>
  <w15:docId w15:val="{7666589A-6493-4767-B337-D5E08BCA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7068"/>
  </w:style>
  <w:style w:type="paragraph" w:styleId="Titolo1">
    <w:name w:val="heading 1"/>
    <w:basedOn w:val="Normale"/>
    <w:next w:val="Normale"/>
    <w:qFormat/>
    <w:rsid w:val="008F0D74"/>
    <w:pPr>
      <w:keepNext/>
      <w:outlineLvl w:val="0"/>
    </w:pPr>
    <w:rPr>
      <w:sz w:val="24"/>
      <w:szCs w:val="24"/>
    </w:rPr>
  </w:style>
  <w:style w:type="paragraph" w:styleId="Titolo2">
    <w:name w:val="heading 2"/>
    <w:basedOn w:val="Normale"/>
    <w:next w:val="Normale"/>
    <w:qFormat/>
    <w:rsid w:val="008F0D74"/>
    <w:pPr>
      <w:keepNext/>
      <w:jc w:val="center"/>
      <w:outlineLvl w:val="1"/>
    </w:pPr>
    <w:rPr>
      <w:sz w:val="24"/>
      <w:szCs w:val="24"/>
    </w:rPr>
  </w:style>
  <w:style w:type="paragraph" w:styleId="Titolo3">
    <w:name w:val="heading 3"/>
    <w:basedOn w:val="Normale"/>
    <w:next w:val="Normale"/>
    <w:link w:val="Titolo3Carattere"/>
    <w:qFormat/>
    <w:rsid w:val="006233F3"/>
    <w:pPr>
      <w:keepNext/>
      <w:outlineLvl w:val="2"/>
    </w:pPr>
    <w:rPr>
      <w:i/>
      <w:iCs/>
    </w:rPr>
  </w:style>
  <w:style w:type="paragraph" w:styleId="Titolo4">
    <w:name w:val="heading 4"/>
    <w:basedOn w:val="Normale"/>
    <w:next w:val="Normale"/>
    <w:link w:val="Titolo4Carattere"/>
    <w:qFormat/>
    <w:rsid w:val="00510591"/>
    <w:pPr>
      <w:keepNext/>
      <w:spacing w:line="320" w:lineRule="atLeast"/>
      <w:jc w:val="both"/>
      <w:outlineLvl w:val="3"/>
    </w:pPr>
    <w:rPr>
      <w:rFonts w:ascii="Courier New" w:hAnsi="Courier New"/>
      <w:b/>
      <w:sz w:val="28"/>
    </w:rPr>
  </w:style>
  <w:style w:type="paragraph" w:styleId="Titolo5">
    <w:name w:val="heading 5"/>
    <w:basedOn w:val="Normale"/>
    <w:next w:val="Normale"/>
    <w:link w:val="Titolo5Carattere"/>
    <w:qFormat/>
    <w:rsid w:val="00510591"/>
    <w:pPr>
      <w:keepNext/>
      <w:spacing w:line="320" w:lineRule="atLeast"/>
      <w:jc w:val="both"/>
      <w:outlineLvl w:val="4"/>
    </w:pPr>
    <w:rPr>
      <w:rFonts w:ascii="Courier New" w:hAnsi="Courier New"/>
      <w:b/>
      <w:sz w:val="26"/>
    </w:rPr>
  </w:style>
  <w:style w:type="paragraph" w:styleId="Titolo6">
    <w:name w:val="heading 6"/>
    <w:basedOn w:val="Normale"/>
    <w:next w:val="Normale"/>
    <w:link w:val="Titolo6Carattere"/>
    <w:qFormat/>
    <w:rsid w:val="00510591"/>
    <w:pPr>
      <w:keepNext/>
      <w:spacing w:line="360" w:lineRule="atLeast"/>
      <w:jc w:val="both"/>
      <w:outlineLvl w:val="5"/>
    </w:pPr>
    <w:rPr>
      <w:snapToGrid w:val="0"/>
      <w:sz w:val="24"/>
    </w:rPr>
  </w:style>
  <w:style w:type="paragraph" w:styleId="Titolo7">
    <w:name w:val="heading 7"/>
    <w:basedOn w:val="Normale"/>
    <w:next w:val="Normale"/>
    <w:link w:val="Titolo7Carattere"/>
    <w:qFormat/>
    <w:rsid w:val="00510591"/>
    <w:pPr>
      <w:keepNext/>
      <w:spacing w:line="360" w:lineRule="atLeast"/>
      <w:jc w:val="center"/>
      <w:outlineLvl w:val="6"/>
    </w:pPr>
    <w:rPr>
      <w:snapToGrid w:val="0"/>
      <w:sz w:val="24"/>
    </w:rPr>
  </w:style>
  <w:style w:type="paragraph" w:styleId="Titolo8">
    <w:name w:val="heading 8"/>
    <w:basedOn w:val="Normale"/>
    <w:next w:val="Normale"/>
    <w:link w:val="Titolo8Carattere"/>
    <w:qFormat/>
    <w:rsid w:val="00510591"/>
    <w:pPr>
      <w:keepNext/>
      <w:tabs>
        <w:tab w:val="left" w:pos="2702"/>
      </w:tabs>
      <w:spacing w:line="360" w:lineRule="atLeast"/>
      <w:jc w:val="center"/>
      <w:outlineLvl w:val="7"/>
    </w:pPr>
    <w:rPr>
      <w:i/>
      <w:iCs/>
      <w:snapToGrid w:val="0"/>
      <w:sz w:val="24"/>
    </w:rPr>
  </w:style>
  <w:style w:type="paragraph" w:styleId="Titolo9">
    <w:name w:val="heading 9"/>
    <w:basedOn w:val="Normale"/>
    <w:next w:val="Normale"/>
    <w:link w:val="Titolo9Carattere"/>
    <w:qFormat/>
    <w:rsid w:val="00510591"/>
    <w:pPr>
      <w:keepNext/>
      <w:spacing w:line="360" w:lineRule="atLeast"/>
      <w:jc w:val="both"/>
      <w:outlineLvl w:val="8"/>
    </w:pPr>
    <w:rPr>
      <w:i/>
      <w:iCs/>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qFormat/>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qFormat/>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qFormat/>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qFormat/>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qFormat/>
    <w:rsid w:val="00596E9F"/>
    <w:pPr>
      <w:spacing w:line="240" w:lineRule="exact"/>
    </w:pPr>
    <w:rPr>
      <w:rFonts w:ascii="Bauhaus Std Medium" w:hAnsi="Bauhaus Std Medium"/>
      <w:b/>
      <w:sz w:val="17"/>
      <w:szCs w:val="18"/>
    </w:rPr>
  </w:style>
  <w:style w:type="paragraph" w:styleId="Intestazione">
    <w:name w:val="header"/>
    <w:basedOn w:val="Normale"/>
    <w:link w:val="IntestazioneCarattere"/>
    <w:uiPriority w:val="99"/>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qFormat/>
    <w:rsid w:val="004F5617"/>
    <w:pPr>
      <w:widowControl w:val="0"/>
      <w:spacing w:line="240" w:lineRule="exact"/>
    </w:pPr>
    <w:rPr>
      <w:rFonts w:ascii="Bauhaus Std Medium" w:hAnsi="Bauhaus Std Medium"/>
      <w:b/>
      <w:caps/>
      <w:sz w:val="18"/>
      <w:szCs w:val="18"/>
    </w:rPr>
  </w:style>
  <w:style w:type="paragraph" w:customStyle="1" w:styleId="DicituraTitolo">
    <w:name w:val="Dicitura Titolo"/>
    <w:qFormat/>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qFormat/>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qFormat/>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qFormat/>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qFormat/>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link w:val="TitoloAttoCarattere"/>
    <w:rsid w:val="00730D8D"/>
    <w:pPr>
      <w:tabs>
        <w:tab w:val="left" w:pos="3420"/>
      </w:tabs>
      <w:spacing w:before="80" w:after="80"/>
      <w:jc w:val="both"/>
    </w:pPr>
    <w:rPr>
      <w:rFonts w:ascii="Arial" w:hAnsi="Arial" w:cs="Arial"/>
      <w:b/>
      <w:sz w:val="22"/>
      <w:szCs w:val="22"/>
    </w:rPr>
  </w:style>
  <w:style w:type="paragraph" w:customStyle="1" w:styleId="CapoversoAtti">
    <w:name w:val="Capoverso Atti"/>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nhideWhenUsed/>
    <w:rsid w:val="00052F04"/>
    <w:rPr>
      <w:rFonts w:ascii="Segoe UI" w:hAnsi="Segoe UI" w:cs="Segoe UI"/>
      <w:sz w:val="18"/>
      <w:szCs w:val="18"/>
    </w:rPr>
  </w:style>
  <w:style w:type="character" w:customStyle="1" w:styleId="TestofumettoCarattere">
    <w:name w:val="Testo fumetto Carattere"/>
    <w:link w:val="Testofumetto"/>
    <w:rsid w:val="00052F04"/>
    <w:rPr>
      <w:rFonts w:ascii="Segoe UI" w:hAnsi="Segoe UI" w:cs="Segoe UI"/>
      <w:sz w:val="18"/>
      <w:szCs w:val="18"/>
    </w:rPr>
  </w:style>
  <w:style w:type="paragraph" w:customStyle="1" w:styleId="DicituraParte0">
    <w:name w:val="Dicitura Parte"/>
    <w:qFormat/>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qFormat/>
    <w:rsid w:val="00DC53D8"/>
    <w:pPr>
      <w:spacing w:before="90"/>
    </w:pPr>
  </w:style>
  <w:style w:type="paragraph" w:customStyle="1" w:styleId="DicituraAtto">
    <w:name w:val="Dicitura Atto"/>
    <w:basedOn w:val="Normale"/>
    <w:qFormat/>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qFormat/>
    <w:rsid w:val="00CA65CC"/>
    <w:pPr>
      <w:widowControl w:val="0"/>
      <w:spacing w:before="60" w:line="185" w:lineRule="exact"/>
      <w:ind w:firstLine="284"/>
      <w:jc w:val="both"/>
    </w:pPr>
    <w:rPr>
      <w:sz w:val="16"/>
      <w:szCs w:val="16"/>
    </w:rPr>
  </w:style>
  <w:style w:type="paragraph" w:customStyle="1" w:styleId="DicituraSezione0">
    <w:name w:val="Dicitura Sezione"/>
    <w:qFormat/>
    <w:rsid w:val="00596E9F"/>
    <w:pPr>
      <w:spacing w:line="240" w:lineRule="exact"/>
      <w:jc w:val="right"/>
    </w:pPr>
    <w:rPr>
      <w:rFonts w:ascii="Bauhaus Std Medium" w:hAnsi="Bauhaus Std Medium"/>
      <w:caps/>
      <w:sz w:val="22"/>
      <w:szCs w:val="18"/>
    </w:rPr>
  </w:style>
  <w:style w:type="paragraph" w:customStyle="1" w:styleId="TitolodellaSezione0">
    <w:name w:val="Titolo della Sezione"/>
    <w:qFormat/>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uiPriority w:val="20"/>
    <w:qFormat/>
    <w:rsid w:val="006233F3"/>
    <w:rPr>
      <w:i/>
      <w:iCs/>
    </w:rPr>
  </w:style>
  <w:style w:type="character" w:styleId="Collegamentoipertestuale">
    <w:name w:val="Hyperlink"/>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Titolo4Carattere">
    <w:name w:val="Titolo 4 Carattere"/>
    <w:link w:val="Titolo4"/>
    <w:rsid w:val="00510591"/>
    <w:rPr>
      <w:rFonts w:ascii="Courier New" w:hAnsi="Courier New"/>
      <w:b/>
      <w:sz w:val="28"/>
    </w:rPr>
  </w:style>
  <w:style w:type="character" w:customStyle="1" w:styleId="Titolo5Carattere">
    <w:name w:val="Titolo 5 Carattere"/>
    <w:link w:val="Titolo5"/>
    <w:rsid w:val="00510591"/>
    <w:rPr>
      <w:rFonts w:ascii="Courier New" w:hAnsi="Courier New"/>
      <w:b/>
      <w:sz w:val="26"/>
    </w:rPr>
  </w:style>
  <w:style w:type="character" w:customStyle="1" w:styleId="Titolo6Carattere">
    <w:name w:val="Titolo 6 Carattere"/>
    <w:link w:val="Titolo6"/>
    <w:rsid w:val="00510591"/>
    <w:rPr>
      <w:snapToGrid w:val="0"/>
      <w:sz w:val="24"/>
    </w:rPr>
  </w:style>
  <w:style w:type="character" w:customStyle="1" w:styleId="Titolo7Carattere">
    <w:name w:val="Titolo 7 Carattere"/>
    <w:link w:val="Titolo7"/>
    <w:rsid w:val="00510591"/>
    <w:rPr>
      <w:snapToGrid w:val="0"/>
      <w:sz w:val="24"/>
    </w:rPr>
  </w:style>
  <w:style w:type="character" w:customStyle="1" w:styleId="Titolo8Carattere">
    <w:name w:val="Titolo 8 Carattere"/>
    <w:link w:val="Titolo8"/>
    <w:rsid w:val="00510591"/>
    <w:rPr>
      <w:i/>
      <w:iCs/>
      <w:snapToGrid w:val="0"/>
      <w:sz w:val="24"/>
    </w:rPr>
  </w:style>
  <w:style w:type="character" w:customStyle="1" w:styleId="Titolo9Carattere">
    <w:name w:val="Titolo 9 Carattere"/>
    <w:link w:val="Titolo9"/>
    <w:rsid w:val="00510591"/>
    <w:rPr>
      <w:i/>
      <w:iCs/>
      <w:snapToGrid w:val="0"/>
      <w:sz w:val="24"/>
    </w:rPr>
  </w:style>
  <w:style w:type="character" w:customStyle="1" w:styleId="TitoloAttoCarattere">
    <w:name w:val="Titolo Atto Carattere"/>
    <w:link w:val="TitoloAtto"/>
    <w:rsid w:val="00510591"/>
    <w:rPr>
      <w:rFonts w:ascii="Arial" w:hAnsi="Arial" w:cs="Arial"/>
      <w:b/>
      <w:sz w:val="22"/>
      <w:szCs w:val="22"/>
    </w:rPr>
  </w:style>
  <w:style w:type="character" w:customStyle="1" w:styleId="CarattereCarattere0">
    <w:name w:val="Carattere Carattere"/>
    <w:semiHidden/>
    <w:rsid w:val="00510591"/>
    <w:rPr>
      <w:rFonts w:ascii="Calibri" w:eastAsia="Calibri" w:hAnsi="Calibri"/>
      <w:lang w:val="it-IT" w:eastAsia="en-US" w:bidi="ar-SA"/>
    </w:rPr>
  </w:style>
  <w:style w:type="paragraph" w:customStyle="1" w:styleId="Nessunaspaziatura2">
    <w:name w:val="Nessuna spaziatura2"/>
    <w:basedOn w:val="Normale"/>
    <w:rsid w:val="00510591"/>
    <w:rPr>
      <w:sz w:val="24"/>
      <w:szCs w:val="24"/>
    </w:rPr>
  </w:style>
  <w:style w:type="paragraph" w:styleId="Titolo">
    <w:name w:val="Title"/>
    <w:basedOn w:val="Normale"/>
    <w:link w:val="TitoloCarattere"/>
    <w:qFormat/>
    <w:rsid w:val="00510591"/>
    <w:pPr>
      <w:jc w:val="center"/>
    </w:pPr>
    <w:rPr>
      <w:b/>
      <w:bCs/>
      <w:sz w:val="24"/>
      <w:szCs w:val="24"/>
    </w:rPr>
  </w:style>
  <w:style w:type="character" w:customStyle="1" w:styleId="TitoloCarattere">
    <w:name w:val="Titolo Carattere"/>
    <w:link w:val="Titolo"/>
    <w:rsid w:val="00510591"/>
    <w:rPr>
      <w:b/>
      <w:bCs/>
      <w:sz w:val="24"/>
      <w:szCs w:val="24"/>
    </w:rPr>
  </w:style>
  <w:style w:type="paragraph" w:customStyle="1" w:styleId="cpv">
    <w:name w:val="cpv"/>
    <w:rsid w:val="00510591"/>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rsid w:val="00510591"/>
    <w:pPr>
      <w:ind w:left="708" w:right="-1"/>
      <w:jc w:val="both"/>
    </w:pPr>
    <w:rPr>
      <w:lang w:eastAsia="zh-CN"/>
    </w:rPr>
  </w:style>
  <w:style w:type="paragraph" w:styleId="Rientrocorpodeltesto2">
    <w:name w:val="Body Text Indent 2"/>
    <w:basedOn w:val="Normale"/>
    <w:link w:val="Rientrocorpodeltesto2Carattere"/>
    <w:rsid w:val="00510591"/>
    <w:pPr>
      <w:ind w:left="705"/>
      <w:jc w:val="both"/>
    </w:pPr>
    <w:rPr>
      <w:lang w:eastAsia="zh-CN"/>
    </w:rPr>
  </w:style>
  <w:style w:type="character" w:customStyle="1" w:styleId="Rientrocorpodeltesto2Carattere">
    <w:name w:val="Rientro corpo del testo 2 Carattere"/>
    <w:link w:val="Rientrocorpodeltesto2"/>
    <w:rsid w:val="00510591"/>
    <w:rPr>
      <w:lang w:eastAsia="zh-CN"/>
    </w:rPr>
  </w:style>
  <w:style w:type="paragraph" w:styleId="Rientrocorpodeltesto3">
    <w:name w:val="Body Text Indent 3"/>
    <w:basedOn w:val="Normale"/>
    <w:link w:val="Rientrocorpodeltesto3Carattere"/>
    <w:rsid w:val="00510591"/>
    <w:pPr>
      <w:ind w:left="705"/>
    </w:pPr>
    <w:rPr>
      <w:lang w:eastAsia="zh-CN"/>
    </w:rPr>
  </w:style>
  <w:style w:type="character" w:customStyle="1" w:styleId="Rientrocorpodeltesto3Carattere">
    <w:name w:val="Rientro corpo del testo 3 Carattere"/>
    <w:link w:val="Rientrocorpodeltesto3"/>
    <w:rsid w:val="00510591"/>
    <w:rPr>
      <w:lang w:eastAsia="zh-CN"/>
    </w:rPr>
  </w:style>
  <w:style w:type="character" w:customStyle="1" w:styleId="Macchinadascrivere">
    <w:name w:val="Macchina da scrivere"/>
    <w:rsid w:val="00510591"/>
    <w:rPr>
      <w:rFonts w:ascii="Courier New" w:hAnsi="Courier New"/>
      <w:sz w:val="20"/>
      <w:szCs w:val="20"/>
    </w:rPr>
  </w:style>
  <w:style w:type="character" w:styleId="Rimandocommento">
    <w:name w:val="annotation reference"/>
    <w:rsid w:val="00510591"/>
    <w:rPr>
      <w:sz w:val="16"/>
      <w:szCs w:val="16"/>
    </w:rPr>
  </w:style>
  <w:style w:type="paragraph" w:styleId="Testocommento">
    <w:name w:val="annotation text"/>
    <w:basedOn w:val="Normale"/>
    <w:link w:val="TestocommentoCarattere"/>
    <w:rsid w:val="00510591"/>
  </w:style>
  <w:style w:type="character" w:customStyle="1" w:styleId="TestocommentoCarattere">
    <w:name w:val="Testo commento Carattere"/>
    <w:basedOn w:val="Carpredefinitoparagrafo"/>
    <w:link w:val="Testocommento"/>
    <w:rsid w:val="00510591"/>
  </w:style>
  <w:style w:type="paragraph" w:styleId="Soggettocommento">
    <w:name w:val="annotation subject"/>
    <w:basedOn w:val="Testocommento"/>
    <w:next w:val="Testocommento"/>
    <w:link w:val="SoggettocommentoCarattere"/>
    <w:rsid w:val="00510591"/>
    <w:rPr>
      <w:b/>
      <w:bCs/>
    </w:rPr>
  </w:style>
  <w:style w:type="character" w:customStyle="1" w:styleId="SoggettocommentoCarattere">
    <w:name w:val="Soggetto commento Carattere"/>
    <w:link w:val="Soggettocommento"/>
    <w:rsid w:val="00510591"/>
    <w:rPr>
      <w:b/>
      <w:bCs/>
    </w:rPr>
  </w:style>
  <w:style w:type="character" w:customStyle="1" w:styleId="IntestazioneCarattere">
    <w:name w:val="Intestazione Carattere"/>
    <w:basedOn w:val="Carpredefinitoparagrafo"/>
    <w:link w:val="Intestazione"/>
    <w:uiPriority w:val="99"/>
    <w:locked/>
    <w:rsid w:val="00B67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6762">
      <w:bodyDiv w:val="1"/>
      <w:marLeft w:val="0"/>
      <w:marRight w:val="0"/>
      <w:marTop w:val="780"/>
      <w:marBottom w:val="0"/>
      <w:divBdr>
        <w:top w:val="none" w:sz="0" w:space="0" w:color="auto"/>
        <w:left w:val="none" w:sz="0" w:space="0" w:color="auto"/>
        <w:bottom w:val="none" w:sz="0" w:space="0" w:color="auto"/>
        <w:right w:val="none" w:sz="0" w:space="0" w:color="auto"/>
      </w:divBdr>
      <w:divsChild>
        <w:div w:id="1467964576">
          <w:marLeft w:val="0"/>
          <w:marRight w:val="0"/>
          <w:marTop w:val="0"/>
          <w:marBottom w:val="0"/>
          <w:divBdr>
            <w:top w:val="none" w:sz="0" w:space="0" w:color="auto"/>
            <w:left w:val="none" w:sz="0" w:space="0" w:color="auto"/>
            <w:bottom w:val="none" w:sz="0" w:space="0" w:color="auto"/>
            <w:right w:val="none" w:sz="0" w:space="0" w:color="auto"/>
          </w:divBdr>
          <w:divsChild>
            <w:div w:id="1772777198">
              <w:marLeft w:val="0"/>
              <w:marRight w:val="0"/>
              <w:marTop w:val="0"/>
              <w:marBottom w:val="0"/>
              <w:divBdr>
                <w:top w:val="none" w:sz="0" w:space="0" w:color="auto"/>
                <w:left w:val="none" w:sz="0" w:space="0" w:color="auto"/>
                <w:bottom w:val="none" w:sz="0" w:space="0" w:color="auto"/>
                <w:right w:val="none" w:sz="0" w:space="0" w:color="auto"/>
              </w:divBdr>
              <w:divsChild>
                <w:div w:id="1388724608">
                  <w:marLeft w:val="0"/>
                  <w:marRight w:val="0"/>
                  <w:marTop w:val="0"/>
                  <w:marBottom w:val="0"/>
                  <w:divBdr>
                    <w:top w:val="none" w:sz="0" w:space="0" w:color="auto"/>
                    <w:left w:val="none" w:sz="0" w:space="0" w:color="auto"/>
                    <w:bottom w:val="none" w:sz="0" w:space="0" w:color="auto"/>
                    <w:right w:val="none" w:sz="0" w:space="0" w:color="auto"/>
                  </w:divBdr>
                  <w:divsChild>
                    <w:div w:id="869798482">
                      <w:marLeft w:val="0"/>
                      <w:marRight w:val="0"/>
                      <w:marTop w:val="0"/>
                      <w:marBottom w:val="0"/>
                      <w:divBdr>
                        <w:top w:val="none" w:sz="0" w:space="0" w:color="auto"/>
                        <w:left w:val="none" w:sz="0" w:space="0" w:color="auto"/>
                        <w:bottom w:val="none" w:sz="0" w:space="0" w:color="auto"/>
                        <w:right w:val="none" w:sz="0" w:space="0" w:color="auto"/>
                      </w:divBdr>
                      <w:divsChild>
                        <w:div w:id="1780221807">
                          <w:marLeft w:val="0"/>
                          <w:marRight w:val="0"/>
                          <w:marTop w:val="0"/>
                          <w:marBottom w:val="0"/>
                          <w:divBdr>
                            <w:top w:val="none" w:sz="0" w:space="0" w:color="auto"/>
                            <w:left w:val="none" w:sz="0" w:space="0" w:color="auto"/>
                            <w:bottom w:val="none" w:sz="0" w:space="0" w:color="auto"/>
                            <w:right w:val="none" w:sz="0" w:space="0" w:color="auto"/>
                          </w:divBdr>
                          <w:divsChild>
                            <w:div w:id="1484160779">
                              <w:marLeft w:val="0"/>
                              <w:marRight w:val="0"/>
                              <w:marTop w:val="0"/>
                              <w:marBottom w:val="0"/>
                              <w:divBdr>
                                <w:top w:val="none" w:sz="0" w:space="0" w:color="auto"/>
                                <w:left w:val="none" w:sz="0" w:space="0" w:color="auto"/>
                                <w:bottom w:val="none" w:sz="0" w:space="0" w:color="auto"/>
                                <w:right w:val="none" w:sz="0" w:space="0" w:color="auto"/>
                              </w:divBdr>
                              <w:divsChild>
                                <w:div w:id="635644353">
                                  <w:marLeft w:val="0"/>
                                  <w:marRight w:val="0"/>
                                  <w:marTop w:val="0"/>
                                  <w:marBottom w:val="0"/>
                                  <w:divBdr>
                                    <w:top w:val="none" w:sz="0" w:space="0" w:color="auto"/>
                                    <w:left w:val="none" w:sz="0" w:space="0" w:color="auto"/>
                                    <w:bottom w:val="none" w:sz="0" w:space="0" w:color="auto"/>
                                    <w:right w:val="none" w:sz="0" w:space="0" w:color="auto"/>
                                  </w:divBdr>
                                  <w:divsChild>
                                    <w:div w:id="138543502">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9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094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39397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8831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32638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5694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389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file:///C:\AppData\Local\Temp\Temp1_CODICE_scalfati.zip\segreteria\Impostazioni%20locali\Temporary%20Internet%20Files\Content.IE5\C1MV8LY3\dea05.dll%3ffpa=1&amp;TIPO=5&amp;NOTXT=1&amp;SSCKEY=1742649109&amp;KEY=05AC00005896&am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64671-6873-421A-BBE5-4D3CB0982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Pages>
  <Words>109</Words>
  <Characters>627</Characters>
  <Application>Microsoft Office Word</Application>
  <DocSecurity>0</DocSecurity>
  <Lines>5</Lines>
  <Paragraphs>1</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47</cp:revision>
  <cp:lastPrinted>2016-03-18T10:27:00Z</cp:lastPrinted>
  <dcterms:created xsi:type="dcterms:W3CDTF">2015-09-16T13:47:00Z</dcterms:created>
  <dcterms:modified xsi:type="dcterms:W3CDTF">2016-06-01T14:14:00Z</dcterms:modified>
</cp:coreProperties>
</file>