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8A923" w14:textId="39E5FD15"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6B84C5E1" w14:textId="77777777" w:rsidTr="005A17E3">
        <w:tc>
          <w:tcPr>
            <w:tcW w:w="537" w:type="dxa"/>
            <w:tcBorders>
              <w:bottom w:val="single" w:sz="4" w:space="0" w:color="5F5F5F"/>
              <w:right w:val="single" w:sz="4" w:space="0" w:color="5F5F5F"/>
            </w:tcBorders>
            <w:shd w:val="clear" w:color="auto" w:fill="auto"/>
            <w:vAlign w:val="center"/>
          </w:tcPr>
          <w:p w14:paraId="68378DB3" w14:textId="244FFE5D" w:rsidR="00DF1546" w:rsidRPr="003F7ADB" w:rsidRDefault="00E40904" w:rsidP="00A718EB">
            <w:pPr>
              <w:pStyle w:val="DicituraAtto"/>
            </w:pPr>
            <w:r w:rsidRPr="003F7ADB">
              <w:t>33</w:t>
            </w:r>
            <w:r w:rsidR="00A718EB" w:rsidRPr="003F7ADB">
              <w:t>6</w:t>
            </w:r>
          </w:p>
        </w:tc>
        <w:tc>
          <w:tcPr>
            <w:tcW w:w="5984" w:type="dxa"/>
            <w:tcBorders>
              <w:left w:val="single" w:sz="4" w:space="0" w:color="5F5F5F"/>
              <w:bottom w:val="single" w:sz="4" w:space="0" w:color="5F5F5F"/>
            </w:tcBorders>
          </w:tcPr>
          <w:p w14:paraId="36440BC8"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53EBDB86" w14:textId="77777777" w:rsidTr="005A17E3">
        <w:trPr>
          <w:trHeight w:val="352"/>
        </w:trPr>
        <w:tc>
          <w:tcPr>
            <w:tcW w:w="537" w:type="dxa"/>
            <w:tcBorders>
              <w:top w:val="single" w:sz="4" w:space="0" w:color="5F5F5F"/>
              <w:right w:val="single" w:sz="4" w:space="0" w:color="5F5F5F"/>
            </w:tcBorders>
            <w:vAlign w:val="center"/>
          </w:tcPr>
          <w:p w14:paraId="5FA83ADA"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53E6AF9C" w14:textId="0C404CA2" w:rsidR="00DF1546" w:rsidRPr="003F7ADB" w:rsidRDefault="005A17E3" w:rsidP="005A17E3">
            <w:pPr>
              <w:pStyle w:val="TitoloAtto"/>
            </w:pPr>
            <w:r w:rsidRPr="003F7ADB">
              <w:t>Appello dell</w:t>
            </w:r>
            <w:r w:rsidR="00650B84" w:rsidRPr="003F7ADB">
              <w:t>’</w:t>
            </w:r>
            <w:r w:rsidRPr="003F7ADB">
              <w:t>imputato con richieste di provvedimenti</w:t>
            </w:r>
            <w:r w:rsidR="00650B84" w:rsidRPr="003F7ADB">
              <w:t xml:space="preserve"> </w:t>
            </w:r>
            <w:r w:rsidRPr="003F7ADB">
              <w:t>in ordine all</w:t>
            </w:r>
            <w:r w:rsidR="00650B84" w:rsidRPr="003F7ADB">
              <w:t>’</w:t>
            </w:r>
            <w:r w:rsidRPr="003F7ADB">
              <w:t>esecuzione delle statuizioni civili</w:t>
            </w:r>
          </w:p>
        </w:tc>
      </w:tr>
    </w:tbl>
    <w:p w14:paraId="1A517415" w14:textId="77777777" w:rsidR="00510591" w:rsidRPr="003F7ADB" w:rsidRDefault="00510591" w:rsidP="005A17E3">
      <w:pPr>
        <w:pStyle w:val="CapoversoAtti"/>
      </w:pPr>
    </w:p>
    <w:p w14:paraId="41DEF949" w14:textId="77777777" w:rsidR="00510591" w:rsidRPr="003F7ADB" w:rsidRDefault="00510591" w:rsidP="005A17E3">
      <w:pPr>
        <w:pStyle w:val="CapoversoAtti"/>
      </w:pPr>
    </w:p>
    <w:p w14:paraId="32F92EA4" w14:textId="77777777" w:rsidR="005A17E3" w:rsidRPr="003F7ADB" w:rsidRDefault="005A17E3" w:rsidP="005A17E3">
      <w:pPr>
        <w:pStyle w:val="CapoversoAtti"/>
      </w:pPr>
    </w:p>
    <w:p w14:paraId="220E2D14" w14:textId="4C439207" w:rsidR="00510591" w:rsidRPr="003F7ADB" w:rsidRDefault="005241E9" w:rsidP="005A17E3">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14E41DA7" w14:textId="77777777" w:rsidR="00510591" w:rsidRPr="003F7ADB" w:rsidRDefault="00510591" w:rsidP="005A17E3">
      <w:pPr>
        <w:pStyle w:val="CapoversoAtti"/>
      </w:pPr>
    </w:p>
    <w:p w14:paraId="0E524ACA" w14:textId="77777777" w:rsidR="00510591" w:rsidRPr="003F7ADB" w:rsidRDefault="00510591" w:rsidP="005A17E3">
      <w:pPr>
        <w:pStyle w:val="CapoversoAtti"/>
      </w:pPr>
    </w:p>
    <w:p w14:paraId="060BE6ED" w14:textId="5883F327" w:rsidR="00510591" w:rsidRPr="003F7ADB" w:rsidRDefault="00510591" w:rsidP="005A17E3">
      <w:pPr>
        <w:pStyle w:val="CapoversoAtti"/>
        <w:rPr>
          <w:snapToGrid w:val="0"/>
          <w:color w:val="000000"/>
          <w:u w:color="000000"/>
        </w:rPr>
      </w:pPr>
      <w:r w:rsidRPr="003F7ADB">
        <w:t xml:space="preserve">Il sottoscritto Avv. … … … (nome e </w:t>
      </w:r>
      <w:proofErr w:type="gramStart"/>
      <w:r w:rsidRPr="003F7ADB">
        <w:t>cognome)</w:t>
      </w:r>
      <w:r w:rsidRPr="003F7ADB">
        <w:rPr>
          <w:snapToGrid w:val="0"/>
          <w:color w:val="000000"/>
          <w:u w:color="000000"/>
        </w:rPr>
        <w:t> </w:t>
      </w:r>
      <w:r w:rsidRPr="003F7ADB">
        <w:rPr>
          <w:snapToGrid w:val="0"/>
          <w:color w:val="000000"/>
          <w:u w:color="000000"/>
          <w:vertAlign w:val="superscript"/>
        </w:rPr>
        <w:footnoteReference w:id="2"/>
      </w:r>
      <w:r w:rsidRPr="003F7ADB">
        <w:t xml:space="preserve"> difensore</w:t>
      </w:r>
      <w:proofErr w:type="gramEnd"/>
      <w:r w:rsidRPr="003F7ADB">
        <w:t xml:space="preserve"> di … … … (nome e cognome), imputato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3"/>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4"/>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5"/>
      </w:r>
      <w:r w:rsidRPr="003F7ADB">
        <w:t>, con la quale l</w:t>
      </w:r>
      <w:r w:rsidR="00650B84" w:rsidRPr="003F7ADB">
        <w:t>’</w:t>
      </w:r>
      <w:r w:rsidRPr="003F7ADB">
        <w:t>imputato veniva riconosciuto colpevole dei reati ascrittigli e condannato alla pena di … … …, oltre al pagamento in favore della parte civile della somma di Euro … … … a titolo di risarcimento del danno, con clausola di provvisoria esecutorietà</w:t>
      </w:r>
      <w:r w:rsidRPr="003F7ADB">
        <w:rPr>
          <w:snapToGrid w:val="0"/>
          <w:color w:val="000000"/>
          <w:u w:color="000000"/>
        </w:rPr>
        <w:t> </w:t>
      </w:r>
      <w:r w:rsidRPr="003F7ADB">
        <w:rPr>
          <w:snapToGrid w:val="0"/>
          <w:color w:val="000000"/>
          <w:u w:color="000000"/>
          <w:vertAlign w:val="superscript"/>
        </w:rPr>
        <w:footnoteReference w:id="6"/>
      </w:r>
    </w:p>
    <w:p w14:paraId="1C7F0C7E" w14:textId="77777777" w:rsidR="005A17E3" w:rsidRPr="003F7ADB" w:rsidRDefault="005A17E3" w:rsidP="005A17E3">
      <w:pPr>
        <w:pStyle w:val="CapoversoAtti"/>
        <w:rPr>
          <w:snapToGrid w:val="0"/>
          <w:color w:val="000000"/>
          <w:u w:color="000000"/>
        </w:rPr>
      </w:pPr>
    </w:p>
    <w:p w14:paraId="6AD6344D" w14:textId="77777777" w:rsidR="00E40904" w:rsidRPr="003F7ADB" w:rsidRDefault="00E40904" w:rsidP="005A17E3">
      <w:pPr>
        <w:pStyle w:val="CapoversoAtti"/>
        <w:rPr>
          <w:snapToGrid w:val="0"/>
          <w:color w:val="000000"/>
          <w:u w:color="000000"/>
        </w:rPr>
      </w:pPr>
    </w:p>
    <w:p w14:paraId="7A55D19A" w14:textId="77777777" w:rsidR="005A17E3" w:rsidRPr="003F7ADB" w:rsidRDefault="005A17E3" w:rsidP="005A17E3">
      <w:pPr>
        <w:pStyle w:val="CapoversoAtti"/>
      </w:pPr>
    </w:p>
    <w:p w14:paraId="11A6C6C7" w14:textId="77777777" w:rsidR="00510591" w:rsidRPr="003F7ADB" w:rsidRDefault="00510591" w:rsidP="005A17E3">
      <w:pPr>
        <w:pStyle w:val="CapoversoAtti"/>
        <w:jc w:val="center"/>
        <w:rPr>
          <w:i/>
        </w:rPr>
      </w:pPr>
      <w:r w:rsidRPr="003F7ADB">
        <w:rPr>
          <w:i/>
        </w:rPr>
        <w:lastRenderedPageBreak/>
        <w:t>Motivi</w:t>
      </w:r>
    </w:p>
    <w:p w14:paraId="46246801" w14:textId="77777777" w:rsidR="00510591" w:rsidRPr="003F7ADB" w:rsidRDefault="00510591" w:rsidP="005A17E3">
      <w:pPr>
        <w:pStyle w:val="CapoversoAtti"/>
      </w:pPr>
    </w:p>
    <w:p w14:paraId="7DB6D28A" w14:textId="77777777" w:rsidR="00510591" w:rsidRPr="003F7ADB" w:rsidRDefault="00510591" w:rsidP="005A17E3">
      <w:pPr>
        <w:pStyle w:val="CapoversoAtti"/>
      </w:pPr>
      <w:r w:rsidRPr="003F7ADB">
        <w:t>1. Motivi di rito e di merito avverso le statuizioni penali della sentenza</w:t>
      </w:r>
      <w:r w:rsidRPr="003F7ADB">
        <w:rPr>
          <w:snapToGrid w:val="0"/>
          <w:color w:val="000000"/>
          <w:u w:color="000000"/>
        </w:rPr>
        <w:t> </w:t>
      </w:r>
      <w:r w:rsidRPr="003F7ADB">
        <w:rPr>
          <w:snapToGrid w:val="0"/>
          <w:color w:val="000000"/>
          <w:u w:color="000000"/>
          <w:vertAlign w:val="superscript"/>
        </w:rPr>
        <w:footnoteReference w:id="7"/>
      </w:r>
    </w:p>
    <w:p w14:paraId="69B7F2B7" w14:textId="77777777" w:rsidR="00510591" w:rsidRPr="003F7ADB" w:rsidRDefault="00510591" w:rsidP="005A17E3">
      <w:pPr>
        <w:pStyle w:val="CapoversoAtti"/>
      </w:pPr>
    </w:p>
    <w:p w14:paraId="50E7369D" w14:textId="77777777" w:rsidR="00510591" w:rsidRPr="003F7ADB" w:rsidRDefault="00510591" w:rsidP="005A17E3">
      <w:pPr>
        <w:pStyle w:val="CapoversoAtti"/>
      </w:pPr>
      <w:r w:rsidRPr="003F7ADB">
        <w:t>2. Motivo relativo alla provvisoria esecuzione della condanna al risarcimento del danno con contestuale istanza di revoca o sospensione</w:t>
      </w:r>
      <w:r w:rsidRPr="003F7ADB">
        <w:rPr>
          <w:snapToGrid w:val="0"/>
          <w:color w:val="000000"/>
          <w:u w:color="000000"/>
        </w:rPr>
        <w:t> </w:t>
      </w:r>
      <w:r w:rsidRPr="003F7ADB">
        <w:rPr>
          <w:snapToGrid w:val="0"/>
          <w:color w:val="000000"/>
          <w:u w:color="000000"/>
          <w:vertAlign w:val="superscript"/>
        </w:rPr>
        <w:footnoteReference w:id="8"/>
      </w:r>
    </w:p>
    <w:p w14:paraId="51270099" w14:textId="77777777" w:rsidR="00510591" w:rsidRPr="003F7ADB" w:rsidRDefault="00510591" w:rsidP="005A17E3">
      <w:pPr>
        <w:pStyle w:val="CapoversoAtti"/>
      </w:pPr>
      <w:r w:rsidRPr="003F7ADB">
        <w:t xml:space="preserve">(Es. insussistenza dei giustificati motivi, del </w:t>
      </w:r>
      <w:proofErr w:type="spellStart"/>
      <w:r w:rsidRPr="003F7ADB">
        <w:rPr>
          <w:i/>
        </w:rPr>
        <w:t>periculum</w:t>
      </w:r>
      <w:proofErr w:type="spellEnd"/>
      <w:r w:rsidRPr="003F7ADB">
        <w:rPr>
          <w:i/>
        </w:rPr>
        <w:t xml:space="preserve"> in mora</w:t>
      </w:r>
      <w:r w:rsidRPr="003F7ADB">
        <w:t xml:space="preserve">, del </w:t>
      </w:r>
      <w:proofErr w:type="spellStart"/>
      <w:r w:rsidRPr="003F7ADB">
        <w:rPr>
          <w:i/>
        </w:rPr>
        <w:t>fumus</w:t>
      </w:r>
      <w:proofErr w:type="spellEnd"/>
      <w:r w:rsidRPr="003F7ADB">
        <w:rPr>
          <w:i/>
        </w:rPr>
        <w:t xml:space="preserve"> boni </w:t>
      </w:r>
      <w:proofErr w:type="spellStart"/>
      <w:r w:rsidRPr="003F7ADB">
        <w:rPr>
          <w:i/>
        </w:rPr>
        <w:t>iuris</w:t>
      </w:r>
      <w:proofErr w:type="spellEnd"/>
      <w:r w:rsidRPr="003F7ADB">
        <w:t xml:space="preserve"> … … …)</w:t>
      </w:r>
    </w:p>
    <w:p w14:paraId="604EC612" w14:textId="77777777" w:rsidR="00510591" w:rsidRPr="003F7ADB" w:rsidRDefault="00510591" w:rsidP="005A17E3">
      <w:pPr>
        <w:pStyle w:val="CapoversoAtti"/>
      </w:pPr>
    </w:p>
    <w:p w14:paraId="49118E3C" w14:textId="324D5465" w:rsidR="00510591" w:rsidRPr="003F7ADB" w:rsidRDefault="00510591" w:rsidP="005A17E3">
      <w:pPr>
        <w:pStyle w:val="CapoversoAtti"/>
      </w:pPr>
      <w:r w:rsidRPr="003F7ADB">
        <w:t>Per quanto sopra chiede che la Corte, previa fissazione dell</w:t>
      </w:r>
      <w:r w:rsidR="00650B84" w:rsidRPr="003F7ADB">
        <w:t>’</w:t>
      </w:r>
      <w:r w:rsidRPr="003F7ADB">
        <w:t xml:space="preserve">udienza </w:t>
      </w:r>
      <w:proofErr w:type="gramStart"/>
      <w:r w:rsidRPr="003F7ADB">
        <w:t>camerale</w:t>
      </w:r>
      <w:r w:rsidRPr="003F7ADB">
        <w:rPr>
          <w:snapToGrid w:val="0"/>
          <w:color w:val="000000"/>
          <w:u w:color="000000"/>
        </w:rPr>
        <w:t> </w:t>
      </w:r>
      <w:r w:rsidRPr="003F7ADB">
        <w:rPr>
          <w:snapToGrid w:val="0"/>
          <w:color w:val="000000"/>
          <w:u w:color="000000"/>
          <w:vertAlign w:val="superscript"/>
        </w:rPr>
        <w:footnoteReference w:id="9"/>
      </w:r>
      <w:r w:rsidRPr="003F7ADB">
        <w:t>,</w:t>
      </w:r>
      <w:proofErr w:type="gramEnd"/>
      <w:r w:rsidRPr="003F7ADB">
        <w:t xml:space="preserve"> emetta ordinanza</w:t>
      </w:r>
      <w:r w:rsidRPr="003F7ADB">
        <w:rPr>
          <w:snapToGrid w:val="0"/>
          <w:color w:val="000000"/>
          <w:u w:color="000000"/>
        </w:rPr>
        <w:t> </w:t>
      </w:r>
      <w:r w:rsidRPr="003F7ADB">
        <w:rPr>
          <w:snapToGrid w:val="0"/>
          <w:color w:val="000000"/>
          <w:u w:color="000000"/>
          <w:vertAlign w:val="superscript"/>
        </w:rPr>
        <w:footnoteReference w:id="10"/>
      </w:r>
      <w:r w:rsidRPr="003F7ADB">
        <w:t xml:space="preserve"> di sospensione (o revoca) della provvisoria esecuzione della condanna al risarcimento del danno.</w:t>
      </w:r>
    </w:p>
    <w:p w14:paraId="418A6AA4" w14:textId="77777777" w:rsidR="00510591" w:rsidRPr="003F7ADB" w:rsidRDefault="00510591" w:rsidP="005A17E3">
      <w:pPr>
        <w:pStyle w:val="CapoversoAtti"/>
      </w:pPr>
    </w:p>
    <w:p w14:paraId="7629DD0F" w14:textId="77777777" w:rsidR="00510591" w:rsidRPr="003F7ADB" w:rsidRDefault="00510591" w:rsidP="005A17E3">
      <w:pPr>
        <w:pStyle w:val="CapoversoAtti"/>
      </w:pPr>
      <w:r w:rsidRPr="003F7ADB">
        <w:t>Luogo e data</w:t>
      </w:r>
    </w:p>
    <w:p w14:paraId="3F126D3A" w14:textId="77777777" w:rsidR="00510591" w:rsidRPr="003F7ADB" w:rsidRDefault="00510591" w:rsidP="005A17E3">
      <w:pPr>
        <w:pStyle w:val="CapoversoAtti"/>
        <w:jc w:val="right"/>
      </w:pPr>
      <w:r w:rsidRPr="003F7ADB">
        <w:t>Sottoscrizione del difensore</w:t>
      </w:r>
      <w:bookmarkStart w:id="0" w:name="_GoBack"/>
      <w:bookmarkEnd w:id="0"/>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19F20394" w14:textId="4410714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Il comma 2 della norma in commento consente la presentazione dell’atto di impugnazione anche nella cancelleria del </w:t>
      </w:r>
      <w:r w:rsidR="00A4007F">
        <w:rPr>
          <w:sz w:val="16"/>
          <w:szCs w:val="16"/>
        </w:rPr>
        <w:t>Tribunale</w:t>
      </w:r>
      <w:r w:rsidRPr="00666AE7">
        <w:rPr>
          <w:sz w:val="16"/>
          <w:szCs w:val="16"/>
        </w:rPr>
        <w:t xml:space="preserve"> o del </w:t>
      </w:r>
      <w:r w:rsidR="00A4007F">
        <w:rPr>
          <w:sz w:val="16"/>
          <w:szCs w:val="16"/>
        </w:rPr>
        <w:t>Giudice</w:t>
      </w:r>
      <w:r w:rsidRPr="00666AE7">
        <w:rPr>
          <w:sz w:val="16"/>
          <w:szCs w:val="16"/>
        </w:rPr>
        <w:t xml:space="preserv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747FFDC8" w14:textId="2290EC83"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L’appello può essere proposto, oltre che dal difensore, personalmente dall’imputato o da un suo procuratore speciale (art. 571 c.p.p.). In quest’ultimo caso la procura deve essere conferita con i modi e le forme di cui all’art. 122 c.p.p. </w:t>
      </w:r>
    </w:p>
    <w:p w14:paraId="6D37EA9F" w14:textId="147AAC66" w:rsidR="007C6801" w:rsidRPr="00666AE7" w:rsidRDefault="007C6801" w:rsidP="005A17E3">
      <w:pPr>
        <w:pStyle w:val="Testonotaapidipagina"/>
        <w:widowControl w:val="0"/>
        <w:spacing w:before="60" w:line="185" w:lineRule="exact"/>
        <w:ind w:firstLine="284"/>
        <w:jc w:val="both"/>
        <w:rPr>
          <w:sz w:val="16"/>
          <w:szCs w:val="16"/>
        </w:rPr>
      </w:pPr>
      <w:r w:rsidRPr="00666AE7">
        <w:rPr>
          <w:sz w:val="16"/>
          <w:szCs w:val="16"/>
        </w:rPr>
        <w:t>A seguito della modifica introdotta dalla l. n. 479 del 1999 all’art. 571, comma 3, c.p.p., in caso di sentenza contumaciale, il difensore può proporre impugnazione nell’interesse dell’imputato senza necessità di alcun specifico mandato.</w:t>
      </w:r>
    </w:p>
  </w:footnote>
  <w:footnote w:id="3">
    <w:p w14:paraId="1530D777" w14:textId="21045E9A"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 </w:t>
      </w:r>
    </w:p>
  </w:footnote>
  <w:footnote w:id="4">
    <w:p w14:paraId="0DC6B3E5" w14:textId="189B819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dal Giudice dell’udienza preliminare di … … …; Corte di assise di … … …; Giudice di pace di … … …</w:t>
      </w:r>
    </w:p>
  </w:footnote>
  <w:footnote w:id="5">
    <w:p w14:paraId="1AF00C7E" w14:textId="1384BFD8"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pacing w:val="-2"/>
          <w:sz w:val="16"/>
          <w:szCs w:val="16"/>
        </w:rPr>
        <w:t>Giudice</w:t>
      </w:r>
      <w:r w:rsidRPr="00666AE7">
        <w:rPr>
          <w:spacing w:val="-2"/>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6">
    <w:p w14:paraId="061C0F60"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Oppure a titolo di provvisionale immediatamente esecutiva. </w:t>
      </w:r>
    </w:p>
  </w:footnote>
  <w:footnote w:id="7">
    <w:p w14:paraId="7D8681EE" w14:textId="766584FB"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Vedi atto “Appello dell’imputato avverso la sentenza di condanna”. </w:t>
      </w:r>
    </w:p>
  </w:footnote>
  <w:footnote w:id="8">
    <w:p w14:paraId="2C33802C" w14:textId="3AD6878E"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L’istanza di sospensione dell’esecuzione di una condanna al pagamento della provvisionale deve essere formulata, a pena di inammissibilità, con l’atto di gravame e non separatamente e successivamente all’impugnazione della sentenza che contenga detta condanna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II, 16 aprile 1999, Petrillo, </w:t>
      </w:r>
      <w:r w:rsidRPr="00666AE7">
        <w:rPr>
          <w:i/>
          <w:sz w:val="16"/>
          <w:szCs w:val="16"/>
        </w:rPr>
        <w:t xml:space="preserve">CED </w:t>
      </w:r>
      <w:proofErr w:type="spellStart"/>
      <w:r w:rsidRPr="00666AE7">
        <w:rPr>
          <w:i/>
          <w:sz w:val="16"/>
          <w:szCs w:val="16"/>
        </w:rPr>
        <w:t>Cass</w:t>
      </w:r>
      <w:proofErr w:type="spellEnd"/>
      <w:r w:rsidRPr="00666AE7">
        <w:rPr>
          <w:i/>
          <w:sz w:val="16"/>
          <w:szCs w:val="16"/>
        </w:rPr>
        <w:t>.</w:t>
      </w:r>
      <w:r w:rsidRPr="00666AE7">
        <w:rPr>
          <w:sz w:val="16"/>
          <w:szCs w:val="16"/>
        </w:rPr>
        <w:t xml:space="preserve">, 212983). </w:t>
      </w:r>
    </w:p>
  </w:footnote>
  <w:footnote w:id="9">
    <w:p w14:paraId="4EC8E370" w14:textId="279E506B"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600 c.p.p., in presenza di esplicita richiesta di parte, la Corte di appello provvede sull’istanza di sospensione o revoca della provvisoria esecuzione con ordinanza emessa, prima della discussione dell’appello principale, a seguito di udienza in camera di consiglio appositamente fissata. </w:t>
      </w:r>
    </w:p>
  </w:footnote>
  <w:footnote w:id="10">
    <w:p w14:paraId="0BCA1629" w14:textId="5237ED21"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L’ordinanza camerale assunta ai sensi dell’art. 600, comma 2, c.p.p. nella fase degli atti preliminari al dibattimento d’appello, seppure autonoma rispetto al profilo penale, è da un lato strutturalmente collegata al merito della vicenda (ancora “</w:t>
      </w:r>
      <w:r w:rsidRPr="00E40904">
        <w:rPr>
          <w:i/>
          <w:sz w:val="16"/>
          <w:szCs w:val="16"/>
        </w:rPr>
        <w:t xml:space="preserve">sub </w:t>
      </w:r>
      <w:proofErr w:type="spellStart"/>
      <w:r w:rsidRPr="00E40904">
        <w:rPr>
          <w:i/>
          <w:sz w:val="16"/>
          <w:szCs w:val="16"/>
        </w:rPr>
        <w:t>iudice</w:t>
      </w:r>
      <w:proofErr w:type="spellEnd"/>
      <w:r w:rsidRPr="00666AE7">
        <w:rPr>
          <w:sz w:val="16"/>
          <w:szCs w:val="16"/>
        </w:rPr>
        <w:t xml:space="preserve">”) e dall’altro ha natura meramente interlocutoria, potendo essere modificata nel corso dell’appello. Ne consegue che per il principio fissato dal comma 1 dell’art. 586 c.p.p., tale ordinanza va impugnata unitamente alla sentenza d’appello e per il principio della tassatività delle impugnazioni </w:t>
      </w:r>
      <w:r w:rsidRPr="00666AE7">
        <w:rPr>
          <w:i/>
          <w:sz w:val="16"/>
          <w:szCs w:val="16"/>
        </w:rPr>
        <w:t>ex</w:t>
      </w:r>
      <w:r w:rsidRPr="00666AE7">
        <w:rPr>
          <w:sz w:val="16"/>
          <w:szCs w:val="16"/>
        </w:rPr>
        <w:t xml:space="preserve"> art. 568 c.p.p. non è ricorribile autonomamente in Cassazione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IV, 20 aprile 1993, Petrocelli, </w:t>
      </w:r>
      <w:r w:rsidRPr="00666AE7">
        <w:rPr>
          <w:i/>
          <w:sz w:val="16"/>
          <w:szCs w:val="16"/>
        </w:rPr>
        <w:t xml:space="preserve">CED </w:t>
      </w:r>
      <w:proofErr w:type="spellStart"/>
      <w:r w:rsidRPr="00666AE7">
        <w:rPr>
          <w:i/>
          <w:sz w:val="16"/>
          <w:szCs w:val="16"/>
        </w:rPr>
        <w:t>Cass</w:t>
      </w:r>
      <w:proofErr w:type="spellEnd"/>
      <w:r w:rsidRPr="00666AE7">
        <w:rPr>
          <w:sz w:val="16"/>
          <w:szCs w:val="16"/>
        </w:rPr>
        <w:t>., 193700).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7578D"/>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51FC-C368-4E2B-B4C4-C0EA0C8C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179</Words>
  <Characters>1021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2016-06-01T14:15:00Z</dcterms:modified>
</cp:coreProperties>
</file>