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9E6A8F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D5674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D56745" w:rsidP="003E3E8F">
            <w:pPr>
              <w:pStyle w:val="DicituraAtto"/>
            </w:pPr>
            <w:r w:rsidRPr="00520244">
              <w:t>3</w:t>
            </w:r>
            <w:r w:rsidR="003E3E8F" w:rsidRPr="00520244">
              <w:t>40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D5674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D56745" w:rsidP="00D56745">
            <w:pPr>
              <w:pStyle w:val="TitoloAtto"/>
            </w:pPr>
            <w:r w:rsidRPr="00520244">
              <w:t>Ricorso per cassazione dell</w:t>
            </w:r>
            <w:r w:rsidR="00C30C56" w:rsidRPr="00520244">
              <w:t>’</w:t>
            </w:r>
            <w:r w:rsidRPr="00520244">
              <w:t>imputato</w:t>
            </w:r>
          </w:p>
        </w:tc>
      </w:tr>
    </w:tbl>
    <w:p w:rsidR="00E403BD" w:rsidRPr="00520244" w:rsidRDefault="00E403BD" w:rsidP="00D56745">
      <w:pPr>
        <w:pStyle w:val="CapoversoAtti"/>
      </w:pPr>
    </w:p>
    <w:p w:rsidR="00D56745" w:rsidRPr="00520244" w:rsidRDefault="00D56745" w:rsidP="00D56745">
      <w:pPr>
        <w:pStyle w:val="CapoversoAtti"/>
      </w:pPr>
    </w:p>
    <w:p w:rsidR="00E403BD" w:rsidRPr="00520244" w:rsidRDefault="00E403BD" w:rsidP="00D56745">
      <w:pPr>
        <w:pStyle w:val="CapoversoAtti"/>
      </w:pPr>
    </w:p>
    <w:p w:rsidR="00E403BD" w:rsidRPr="00520244" w:rsidRDefault="00A9166A" w:rsidP="00D56745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D56745">
      <w:pPr>
        <w:pStyle w:val="CapoversoAtti"/>
      </w:pPr>
    </w:p>
    <w:p w:rsidR="00E403BD" w:rsidRPr="00520244" w:rsidRDefault="00E403BD" w:rsidP="00D56745">
      <w:pPr>
        <w:pStyle w:val="CapoversoAtti"/>
      </w:pPr>
    </w:p>
    <w:p w:rsidR="00E403BD" w:rsidRPr="00520244" w:rsidRDefault="00E403BD" w:rsidP="00D56745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 xml:space="preserve">difensore di fiducia di … … … (nome e cognome), imputato nel procedimento penale n. ... ... ..., propone ricorso per cassazione avverso la sentenza con la quale il </w:t>
      </w:r>
      <w:r w:rsidR="00A9166A" w:rsidRPr="00520244">
        <w:t>Tribunale</w:t>
      </w:r>
      <w:r w:rsidRPr="00520244">
        <w:t xml:space="preserve"> di … … …/la </w:t>
      </w:r>
      <w:r w:rsidR="00A9166A" w:rsidRPr="00520244">
        <w:t>Corte di appello</w:t>
      </w:r>
      <w:r w:rsidRPr="00520244">
        <w:t xml:space="preserve"> di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t xml:space="preserve"> in data …/…/... ha deciso … … … (indicare il dispositivo della sentenza impugnata).</w:t>
      </w:r>
    </w:p>
    <w:p w:rsidR="00E403BD" w:rsidRPr="00520244" w:rsidRDefault="00E403BD" w:rsidP="00E1760D">
      <w:pPr>
        <w:pStyle w:val="CapoversoAtti"/>
      </w:pPr>
    </w:p>
    <w:p w:rsidR="00D56745" w:rsidRPr="00520244" w:rsidRDefault="00D56745" w:rsidP="00E1760D">
      <w:pPr>
        <w:pStyle w:val="CapoversoAtti"/>
      </w:pPr>
    </w:p>
    <w:p w:rsidR="00E403BD" w:rsidRPr="00520244" w:rsidRDefault="00E403BD" w:rsidP="00D56745">
      <w:pPr>
        <w:pStyle w:val="CapoversoAtti"/>
        <w:jc w:val="center"/>
        <w:rPr>
          <w:i/>
        </w:rPr>
      </w:pPr>
      <w:r w:rsidRPr="00520244">
        <w:rPr>
          <w:i/>
        </w:rPr>
        <w:t>Motivi</w:t>
      </w:r>
    </w:p>
    <w:p w:rsidR="00E403BD" w:rsidRPr="00520244" w:rsidRDefault="00E403BD" w:rsidP="00D56745">
      <w:pPr>
        <w:pStyle w:val="CapoversoAtti"/>
      </w:pPr>
      <w:r w:rsidRPr="00520244">
        <w:t>... ... ...</w:t>
      </w:r>
    </w:p>
    <w:p w:rsidR="00E403BD" w:rsidRPr="00520244" w:rsidRDefault="00E403BD" w:rsidP="00D56745">
      <w:pPr>
        <w:pStyle w:val="CapoversoAtti"/>
      </w:pPr>
      <w:r w:rsidRPr="00520244">
        <w:t>... ... ...</w:t>
      </w:r>
    </w:p>
    <w:p w:rsidR="00E403BD" w:rsidRPr="00520244" w:rsidRDefault="00E403BD" w:rsidP="00D56745">
      <w:pPr>
        <w:pStyle w:val="CapoversoAtti"/>
      </w:pPr>
    </w:p>
    <w:p w:rsidR="00E403BD" w:rsidRPr="00520244" w:rsidRDefault="00E403BD" w:rsidP="00D56745">
      <w:pPr>
        <w:pStyle w:val="CapoversoAtti"/>
      </w:pPr>
      <w:r w:rsidRPr="00520244">
        <w:t>[– Violazione dell</w:t>
      </w:r>
      <w:r w:rsidR="00C30C56" w:rsidRPr="00520244">
        <w:t>’</w:t>
      </w:r>
      <w:r w:rsidRPr="00520244">
        <w:t xml:space="preserve">art. 606, comma 1, </w:t>
      </w:r>
      <w:proofErr w:type="spellStart"/>
      <w:r w:rsidRPr="00520244">
        <w:t>lett</w:t>
      </w:r>
      <w:proofErr w:type="spellEnd"/>
      <w:r w:rsidRPr="00520244">
        <w:t xml:space="preserve">. </w:t>
      </w:r>
      <w:r w:rsidRPr="00520244">
        <w:rPr>
          <w:i/>
        </w:rPr>
        <w:t>a),</w:t>
      </w:r>
      <w:r w:rsidRPr="00520244">
        <w:t xml:space="preserve"> c.p.p. per avere la sentenza impugnata esercitato una potestà riservata dalla legge a organo legislativo/ammi</w:t>
      </w:r>
      <w:r w:rsidR="00902B2D" w:rsidRPr="00520244">
        <w:softHyphen/>
      </w:r>
      <w:r w:rsidRPr="00520244">
        <w:t>ni</w:t>
      </w:r>
      <w:r w:rsidR="00902B2D" w:rsidRPr="00520244">
        <w:softHyphen/>
      </w:r>
      <w:r w:rsidRPr="00520244">
        <w:t>strativo/non consentita ai pubblici poteri.</w:t>
      </w:r>
    </w:p>
    <w:p w:rsidR="00E403BD" w:rsidRPr="00520244" w:rsidRDefault="00E403BD" w:rsidP="00D56745">
      <w:pPr>
        <w:pStyle w:val="CapoversoAtti"/>
      </w:pPr>
      <w:r w:rsidRPr="00520244">
        <w:t>– Violazione dell</w:t>
      </w:r>
      <w:r w:rsidR="00C30C56" w:rsidRPr="00520244">
        <w:t>’</w:t>
      </w:r>
      <w:r w:rsidRPr="00520244">
        <w:t xml:space="preserve">art. 606, comma 1, </w:t>
      </w:r>
      <w:proofErr w:type="spellStart"/>
      <w:r w:rsidRPr="00520244">
        <w:t>lett</w:t>
      </w:r>
      <w:proofErr w:type="spellEnd"/>
      <w:r w:rsidRPr="00520244">
        <w:t xml:space="preserve">. </w:t>
      </w:r>
      <w:r w:rsidRPr="00520244">
        <w:rPr>
          <w:i/>
        </w:rPr>
        <w:t>b),</w:t>
      </w:r>
      <w:r w:rsidRPr="00520244">
        <w:t xml:space="preserve"> c.p.p. in relazione all</w:t>
      </w:r>
      <w:r w:rsidR="00C30C56" w:rsidRPr="00520244">
        <w:t>’</w:t>
      </w:r>
      <w:r w:rsidRPr="00520244">
        <w:t>art. … ...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  <w:r w:rsidRPr="00520244">
        <w:rPr>
          <w:snapToGrid w:val="0"/>
          <w:color w:val="000000"/>
          <w:u w:color="000000"/>
        </w:rPr>
        <w:t xml:space="preserve"> </w:t>
      </w:r>
      <w:r w:rsidRPr="00520244">
        <w:t>per avere la sentenza impugnata inosservato ed erroneamente applicato la legge penale/le norme giuridiche di cui si deve tener conto nell</w:t>
      </w:r>
      <w:r w:rsidR="00C30C56" w:rsidRPr="00520244">
        <w:t>’</w:t>
      </w:r>
      <w:r w:rsidRPr="00520244">
        <w:t>applicazione della legge penale.</w:t>
      </w:r>
    </w:p>
    <w:p w:rsidR="00E403BD" w:rsidRPr="00520244" w:rsidRDefault="00E403BD" w:rsidP="00D56745">
      <w:pPr>
        <w:pStyle w:val="CapoversoAtti"/>
      </w:pPr>
      <w:r w:rsidRPr="00520244">
        <w:t>– Violazione dell</w:t>
      </w:r>
      <w:r w:rsidR="00C30C56" w:rsidRPr="00520244">
        <w:t>’</w:t>
      </w:r>
      <w:r w:rsidRPr="00520244">
        <w:t xml:space="preserve">art. 606, comma 1, </w:t>
      </w:r>
      <w:proofErr w:type="spellStart"/>
      <w:r w:rsidRPr="00520244">
        <w:t>lett</w:t>
      </w:r>
      <w:proofErr w:type="spellEnd"/>
      <w:r w:rsidRPr="00520244">
        <w:t xml:space="preserve">. </w:t>
      </w:r>
      <w:r w:rsidRPr="00520244">
        <w:rPr>
          <w:i/>
        </w:rPr>
        <w:t>c),</w:t>
      </w:r>
      <w:r w:rsidRPr="00520244">
        <w:t xml:space="preserve"> c.p.p. in relazione all</w:t>
      </w:r>
      <w:r w:rsidR="00C30C56" w:rsidRPr="00520244">
        <w:t>’</w:t>
      </w:r>
      <w:r w:rsidRPr="00520244">
        <w:t>art.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4"/>
      </w:r>
      <w:r w:rsidRPr="00520244">
        <w:rPr>
          <w:snapToGrid w:val="0"/>
          <w:color w:val="000000"/>
          <w:u w:color="000000"/>
        </w:rPr>
        <w:t xml:space="preserve"> </w:t>
      </w:r>
      <w:r w:rsidRPr="00520244">
        <w:t>per aver la sentenza impugnata inosservato norma processuale stabilita a pena di nullità/inutilizzabilità/inammissibilità/decadenza.</w:t>
      </w:r>
    </w:p>
    <w:p w:rsidR="00E403BD" w:rsidRPr="00520244" w:rsidRDefault="00E403BD" w:rsidP="00D56745">
      <w:pPr>
        <w:pStyle w:val="CapoversoAtti"/>
      </w:pPr>
      <w:r w:rsidRPr="00520244">
        <w:t>– Violazione dell</w:t>
      </w:r>
      <w:r w:rsidR="00C30C56" w:rsidRPr="00520244">
        <w:t>’</w:t>
      </w:r>
      <w:r w:rsidRPr="00520244">
        <w:t xml:space="preserve">art. 606, comma 1, </w:t>
      </w:r>
      <w:proofErr w:type="spellStart"/>
      <w:r w:rsidRPr="00520244">
        <w:t>lett</w:t>
      </w:r>
      <w:proofErr w:type="spellEnd"/>
      <w:r w:rsidRPr="00520244">
        <w:t xml:space="preserve">. </w:t>
      </w:r>
      <w:r w:rsidRPr="00520244">
        <w:rPr>
          <w:i/>
        </w:rPr>
        <w:t>d),</w:t>
      </w:r>
      <w:r w:rsidRPr="00520244">
        <w:t xml:space="preserve"> c.p.p. per non essere stata assunta … … ... (indicare il mezzo di prova) a discarico e decisiva su fatti costituenti oggetto delle prove a carico, richiesta in data …/…/…</w:t>
      </w:r>
    </w:p>
    <w:p w:rsidR="00E403BD" w:rsidRPr="00520244" w:rsidRDefault="00E403BD" w:rsidP="00D56745">
      <w:pPr>
        <w:pStyle w:val="CapoversoAtti"/>
      </w:pPr>
      <w:r w:rsidRPr="00520244">
        <w:lastRenderedPageBreak/>
        <w:t>– Violazione dell</w:t>
      </w:r>
      <w:r w:rsidR="00C30C56" w:rsidRPr="00520244">
        <w:t>’</w:t>
      </w:r>
      <w:r w:rsidRPr="00520244">
        <w:t xml:space="preserve">art. 606, comma 1, </w:t>
      </w:r>
      <w:proofErr w:type="spellStart"/>
      <w:r w:rsidRPr="00520244">
        <w:t>lett</w:t>
      </w:r>
      <w:proofErr w:type="spellEnd"/>
      <w:r w:rsidRPr="00520244">
        <w:t xml:space="preserve">. </w:t>
      </w:r>
      <w:r w:rsidRPr="00520244">
        <w:rPr>
          <w:i/>
        </w:rPr>
        <w:t>e</w:t>
      </w:r>
      <w:r w:rsidRPr="00520244">
        <w:t>), c.p.p. per aver la sentenza impugnata omesso di motivare/motivato contraddittoriamente/motivato con argomentazioni manifestamente illogiche e risultanti dal testo del provvedimento impugnato (ovvero dal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5"/>
      </w:r>
      <w:r w:rsidRPr="00520244">
        <w:t>) sul … ... ... (indicare il punto della motivazione con riferimento al quale si eccepisce il vizio)].</w:t>
      </w:r>
    </w:p>
    <w:p w:rsidR="00E403BD" w:rsidRPr="00520244" w:rsidRDefault="00E403BD" w:rsidP="00D56745">
      <w:pPr>
        <w:pStyle w:val="CapoversoAtti"/>
      </w:pPr>
      <w:r w:rsidRPr="00520244">
        <w:t>Per quanto precede, chiede l</w:t>
      </w:r>
      <w:r w:rsidR="00C30C56" w:rsidRPr="00520244">
        <w:t>’</w:t>
      </w:r>
      <w:r w:rsidRPr="00520244">
        <w:t>annullamento dell</w:t>
      </w:r>
      <w:r w:rsidR="00C30C56" w:rsidRPr="00520244">
        <w:t>’</w:t>
      </w:r>
      <w:r w:rsidRPr="00520244">
        <w:t>impugnata sentenza con rinvio/</w:t>
      </w:r>
      <w:r w:rsidR="009210F9" w:rsidRPr="00520244">
        <w:t xml:space="preserve"> </w:t>
      </w:r>
      <w:r w:rsidRPr="00520244">
        <w:t>senza rinvio.</w:t>
      </w:r>
    </w:p>
    <w:p w:rsidR="00E403BD" w:rsidRPr="00520244" w:rsidRDefault="00E403BD" w:rsidP="00D56745">
      <w:pPr>
        <w:pStyle w:val="CapoversoAtti"/>
      </w:pPr>
    </w:p>
    <w:p w:rsidR="00E403BD" w:rsidRPr="00520244" w:rsidRDefault="00E403BD" w:rsidP="00D56745">
      <w:pPr>
        <w:pStyle w:val="CapoversoAtti"/>
      </w:pPr>
      <w:r w:rsidRPr="00520244">
        <w:t>Luogo e data</w:t>
      </w:r>
    </w:p>
    <w:p w:rsidR="00182A74" w:rsidRPr="00966FF8" w:rsidRDefault="00E403BD" w:rsidP="002C0BED">
      <w:pPr>
        <w:pStyle w:val="CapoversoAtti"/>
        <w:jc w:val="right"/>
        <w:rPr>
          <w:sz w:val="2"/>
          <w:szCs w:val="2"/>
        </w:rPr>
      </w:pPr>
      <w:r w:rsidRPr="00520244">
        <w:t>Sottoscrizione del difensore</w:t>
      </w:r>
      <w:bookmarkStart w:id="0" w:name="_GoBack"/>
      <w:bookmarkEnd w:id="0"/>
    </w:p>
    <w:sectPr w:rsidR="00182A74" w:rsidRPr="00966FF8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613, comma 1,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Corte</w:t>
      </w:r>
      <w:r w:rsidRPr="00DD49A1">
        <w:t xml:space="preserve"> di cassazione</w:t>
      </w:r>
      <w:r>
        <w:t>;</w:t>
      </w:r>
      <w:r w:rsidRPr="00DD49A1">
        <w:t xml:space="preserve"> ma, nel caso dell</w:t>
      </w:r>
      <w:r>
        <w:t>’</w:t>
      </w:r>
      <w:r w:rsidRPr="00DD49A1">
        <w:t>imputato, esso può essere sottoscritto anche dalla parte personalmente.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Come osservato nel </w:t>
      </w:r>
      <w:r>
        <w:t>Q</w:t>
      </w:r>
      <w:r w:rsidRPr="00DD49A1">
        <w:t xml:space="preserve">uadro essenziale, il ricorso può avere ad oggetto le sentenze emesse in grado di appello ma anche quelle </w:t>
      </w:r>
      <w:r>
        <w:t>adottate</w:t>
      </w:r>
      <w:r w:rsidRPr="00DD49A1">
        <w:t xml:space="preserve"> in primo grado inappellabili e quelle che, benché appellabili, sono direttamente gravate da ricorso per cassazione ai sensi dell</w:t>
      </w:r>
      <w:r>
        <w:t>’</w:t>
      </w:r>
      <w:r w:rsidRPr="00DD49A1">
        <w:t>art. 569 c.p.p.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Indicare l</w:t>
      </w:r>
      <w:r>
        <w:t>’</w:t>
      </w:r>
      <w:r w:rsidRPr="00DD49A1">
        <w:t>articolo del codice penale o della norma incriminatrice che si assume violata.</w:t>
      </w:r>
    </w:p>
  </w:footnote>
  <w:footnote w:id="4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Indicare l</w:t>
      </w:r>
      <w:r>
        <w:t>’</w:t>
      </w:r>
      <w:r w:rsidRPr="00DD49A1">
        <w:t>articolo o gli articoli del codice di procedura penale che si assumono violati.</w:t>
      </w:r>
    </w:p>
  </w:footnote>
  <w:footnote w:id="5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per effetto delle modificazione apportate all</w:t>
      </w:r>
      <w:r>
        <w:t>’</w:t>
      </w:r>
      <w:r w:rsidRPr="00DD49A1">
        <w:t xml:space="preserve">art. 606 c.p.p. dalla l. </w:t>
      </w:r>
      <w:r>
        <w:t xml:space="preserve">20 febbraio 2006, n. </w:t>
      </w:r>
      <w:r w:rsidRPr="00DD49A1">
        <w:t>46, nell</w:t>
      </w:r>
      <w:r>
        <w:t>’</w:t>
      </w:r>
      <w:r w:rsidRPr="00DD49A1">
        <w:t>eccepire il c.d. travisamento del fatto</w:t>
      </w:r>
      <w:r>
        <w:t>,</w:t>
      </w:r>
      <w:r w:rsidRPr="00DD49A1">
        <w:t xml:space="preserve"> la parte deve indicare gli atti del processo dai quali si ricava la inconciliabilità tra quanto postulato dalla sentenza e quan</w:t>
      </w:r>
      <w:r>
        <w:t>t</w:t>
      </w:r>
      <w:r w:rsidRPr="00DD49A1">
        <w:t>o invece effettivamente risultante dagli stessi.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C0BED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2016-06-01T14:18:00Z</dcterms:modified>
</cp:coreProperties>
</file>