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D5674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D56745" w:rsidP="003E3E8F">
            <w:pPr>
              <w:pStyle w:val="DicituraAtto"/>
            </w:pPr>
            <w:r w:rsidRPr="00520244">
              <w:t>3</w:t>
            </w:r>
            <w:r w:rsidR="003E3E8F" w:rsidRPr="00520244">
              <w:t>41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D5674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D56745" w:rsidP="00D56745">
            <w:pPr>
              <w:pStyle w:val="TitoloAtto"/>
            </w:pPr>
            <w:r w:rsidRPr="00520244">
              <w:t>Ricorso per cassazione della parte civile</w:t>
            </w:r>
            <w:r w:rsidRPr="00520244">
              <w:rPr>
                <w:snapToGrid w:val="0"/>
                <w:color w:val="000000"/>
                <w:u w:color="000000"/>
              </w:rPr>
              <w:t> </w:t>
            </w:r>
            <w:r w:rsidRPr="00520244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E403BD" w:rsidRPr="00520244" w:rsidRDefault="00E403BD" w:rsidP="00D56745">
      <w:pPr>
        <w:pStyle w:val="CapoversoAtti"/>
      </w:pPr>
    </w:p>
    <w:p w:rsidR="00D56745" w:rsidRPr="00520244" w:rsidRDefault="00D56745" w:rsidP="00D56745">
      <w:pPr>
        <w:pStyle w:val="CapoversoAtti"/>
      </w:pPr>
    </w:p>
    <w:p w:rsidR="00E403BD" w:rsidRPr="00520244" w:rsidRDefault="00E403BD" w:rsidP="00D56745">
      <w:pPr>
        <w:pStyle w:val="CapoversoAtti"/>
      </w:pPr>
    </w:p>
    <w:p w:rsidR="00E403BD" w:rsidRPr="00520244" w:rsidRDefault="00A9166A" w:rsidP="009210F9">
      <w:pPr>
        <w:pStyle w:val="CapoversoAtti"/>
        <w:spacing w:line="230" w:lineRule="exact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9210F9">
      <w:pPr>
        <w:pStyle w:val="CapoversoAtti"/>
        <w:spacing w:line="230" w:lineRule="exact"/>
      </w:pPr>
    </w:p>
    <w:p w:rsidR="00E403BD" w:rsidRPr="00520244" w:rsidRDefault="00E403BD" w:rsidP="009210F9">
      <w:pPr>
        <w:pStyle w:val="CapoversoAtti"/>
        <w:spacing w:line="230" w:lineRule="exact"/>
      </w:pPr>
    </w:p>
    <w:p w:rsidR="00E403BD" w:rsidRPr="00520244" w:rsidRDefault="00E403BD" w:rsidP="009210F9">
      <w:pPr>
        <w:pStyle w:val="CapoversoAtti"/>
        <w:spacing w:line="230" w:lineRule="exact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 e procuratore speciale di … … … (nome e cognome), parte civile nel procedimento penale n. ... ... ... come da procura rilasciata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520244">
        <w:t>, propone ricorso per cassazione ai sensi dell</w:t>
      </w:r>
      <w:r w:rsidR="00C30C56" w:rsidRPr="00520244">
        <w:t>’</w:t>
      </w:r>
      <w:r w:rsidRPr="00520244">
        <w:t xml:space="preserve">art. 576 c.p.p. e per gli effetti dallo stesso previsti,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spacing w:val="-2"/>
          <w:u w:color="000000"/>
        </w:rPr>
        <w:footnoteReference w:id="4"/>
      </w:r>
      <w:r w:rsidRPr="00520244">
        <w:t xml:space="preserve"> in data …/…/… ha deciso … … … (indicare il dispositivo della sentenza impugnata).</w:t>
      </w:r>
    </w:p>
    <w:p w:rsidR="00E403BD" w:rsidRPr="00520244" w:rsidRDefault="00E403BD" w:rsidP="009210F9">
      <w:pPr>
        <w:pStyle w:val="CapoversoAtti"/>
        <w:spacing w:before="360" w:line="230" w:lineRule="exact"/>
        <w:jc w:val="center"/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5"/>
      </w:r>
    </w:p>
    <w:p w:rsidR="00E403BD" w:rsidRPr="00520244" w:rsidRDefault="00E403BD" w:rsidP="009210F9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9210F9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9210F9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9210F9">
      <w:pPr>
        <w:pStyle w:val="CapoversoAtti"/>
        <w:spacing w:line="230" w:lineRule="exact"/>
      </w:pPr>
    </w:p>
    <w:p w:rsidR="00E403BD" w:rsidRPr="00520244" w:rsidRDefault="00E403BD" w:rsidP="009210F9">
      <w:pPr>
        <w:pStyle w:val="CapoversoAtti"/>
        <w:spacing w:line="230" w:lineRule="exact"/>
      </w:pPr>
      <w:r w:rsidRPr="00520244">
        <w:t>In relazione a quanto precede, chiede l</w:t>
      </w:r>
      <w:r w:rsidR="00C30C56" w:rsidRPr="00520244">
        <w:t>’</w:t>
      </w:r>
      <w:r w:rsidRPr="00520244">
        <w:t>annullamento dell</w:t>
      </w:r>
      <w:r w:rsidR="00C30C56" w:rsidRPr="00520244">
        <w:t>’</w:t>
      </w:r>
      <w:r w:rsidRPr="00520244">
        <w:t>impugnata sentenza con rinvio/senza rinvio.</w:t>
      </w:r>
    </w:p>
    <w:p w:rsidR="00E403BD" w:rsidRPr="00520244" w:rsidRDefault="00E403BD" w:rsidP="009210F9">
      <w:pPr>
        <w:pStyle w:val="CapoversoAtti"/>
        <w:spacing w:line="230" w:lineRule="exact"/>
      </w:pPr>
    </w:p>
    <w:p w:rsidR="00E403BD" w:rsidRPr="00520244" w:rsidRDefault="00E403BD" w:rsidP="009210F9">
      <w:pPr>
        <w:pStyle w:val="CapoversoAtti"/>
        <w:spacing w:line="230" w:lineRule="exact"/>
      </w:pPr>
      <w:r w:rsidRPr="00520244">
        <w:t>Luogo e data</w:t>
      </w:r>
    </w:p>
    <w:p w:rsidR="00182A74" w:rsidRPr="00966FF8" w:rsidRDefault="00E403BD" w:rsidP="00170DB7">
      <w:pPr>
        <w:pStyle w:val="CapoversoAtti"/>
        <w:spacing w:line="230" w:lineRule="exact"/>
        <w:jc w:val="right"/>
        <w:rPr>
          <w:sz w:val="2"/>
          <w:szCs w:val="2"/>
        </w:rPr>
      </w:pPr>
      <w:r w:rsidRPr="00520244">
        <w:t>Sottoscrizione del difensore</w:t>
      </w:r>
      <w:bookmarkStart w:id="0" w:name="_GoBack"/>
      <w:bookmarkEnd w:id="0"/>
    </w:p>
    <w:sectPr w:rsidR="00182A74" w:rsidRPr="00966FF8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9210F9" w:rsidRDefault="00E03A4C" w:rsidP="00D56745">
      <w:pPr>
        <w:pStyle w:val="Notaapipagina"/>
        <w:rPr>
          <w:spacing w:val="-3"/>
        </w:rPr>
      </w:pPr>
      <w:r w:rsidRPr="009210F9">
        <w:rPr>
          <w:rStyle w:val="Rimandonotaapidipagina"/>
          <w:snapToGrid w:val="0"/>
          <w:color w:val="000000"/>
          <w:spacing w:val="-3"/>
          <w:u w:color="000000"/>
        </w:rPr>
        <w:footnoteRef/>
      </w:r>
      <w:r w:rsidRPr="009210F9">
        <w:rPr>
          <w:snapToGrid w:val="0"/>
          <w:spacing w:val="-3"/>
          <w:u w:color="000000"/>
        </w:rPr>
        <w:t> </w:t>
      </w:r>
      <w:r w:rsidRPr="009210F9">
        <w:rPr>
          <w:spacing w:val="-3"/>
        </w:rPr>
        <w:t xml:space="preserve">Come osservato nel quadro generale, in tema di ricorso per cassazione manca una previsione espressa del potere della parte civile ad impugnare </w:t>
      </w:r>
      <w:smartTag w:uri="urn:schemas-microsoft-com:office:smarttags" w:element="PersonName">
        <w:smartTagPr>
          <w:attr w:name="ProductID" w:val="la sentenza. Esso"/>
        </w:smartTagPr>
        <w:r w:rsidRPr="009210F9">
          <w:rPr>
            <w:spacing w:val="-3"/>
          </w:rPr>
          <w:t>la sentenza. Esso</w:t>
        </w:r>
      </w:smartTag>
      <w:r w:rsidRPr="009210F9">
        <w:rPr>
          <w:spacing w:val="-3"/>
        </w:rPr>
        <w:t>, tuttavia, si deduce dall’art. 576 c.p.p.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</w:t>
      </w:r>
      <w:r w:rsidRPr="00DD49A1">
        <w:t>orte di cassazione e che, secondo la giurisprudenza, esso, può essere sottoscritto anche personalmente dalla parte solo nel caso in cui questa coincida con l</w:t>
      </w:r>
      <w:r>
        <w:t>’</w:t>
      </w:r>
      <w:r w:rsidRPr="00DD49A1">
        <w:t>imputato.</w:t>
      </w:r>
    </w:p>
  </w:footnote>
  <w:footnote w:id="3">
    <w:p w:rsidR="00E03A4C" w:rsidRPr="00F809D2" w:rsidRDefault="00E03A4C" w:rsidP="00D56745">
      <w:pPr>
        <w:pStyle w:val="Notaapipagina"/>
        <w:rPr>
          <w:spacing w:val="-2"/>
        </w:rPr>
      </w:pPr>
      <w:r w:rsidRPr="00F809D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F809D2">
        <w:rPr>
          <w:snapToGrid w:val="0"/>
          <w:spacing w:val="-2"/>
          <w:u w:color="000000"/>
        </w:rPr>
        <w:t> </w:t>
      </w:r>
      <w:r w:rsidRPr="00F809D2">
        <w:rPr>
          <w:spacing w:val="-2"/>
        </w:rPr>
        <w:t>Va ricordato che ai sensi dell</w:t>
      </w:r>
      <w:r>
        <w:rPr>
          <w:spacing w:val="-2"/>
        </w:rPr>
        <w:t>’</w:t>
      </w:r>
      <w:r w:rsidRPr="00F809D2">
        <w:rPr>
          <w:spacing w:val="-2"/>
        </w:rPr>
        <w:t>art. 100, comma 3, c.p.p. la procura si presume conferita soltanto per un determinato grado del processo, quando nell</w:t>
      </w:r>
      <w:r>
        <w:rPr>
          <w:spacing w:val="-2"/>
        </w:rPr>
        <w:t>’</w:t>
      </w:r>
      <w:r w:rsidRPr="00F809D2">
        <w:rPr>
          <w:spacing w:val="-2"/>
        </w:rPr>
        <w:t>atto non è espressa volontà diversa. Conseguentemente, ove tale volontà è stata espressa al momento del conferimento della procura è sufficiente richiamare la procura rilasciata al momento della costituzione. Altrimenti</w:t>
      </w:r>
      <w:r>
        <w:rPr>
          <w:spacing w:val="-2"/>
        </w:rPr>
        <w:t>,</w:t>
      </w:r>
      <w:r w:rsidRPr="00F809D2">
        <w:rPr>
          <w:spacing w:val="-2"/>
        </w:rPr>
        <w:t xml:space="preserve"> occorre richiamare quella successivamente rilasciata e comprendente il potere di rappresentanza per gli ulteriori gradi ovvero provvedere al conferimento di nuova procura per l</w:t>
      </w:r>
      <w:r>
        <w:rPr>
          <w:spacing w:val="-2"/>
        </w:rPr>
        <w:t>’</w:t>
      </w:r>
      <w:r w:rsidRPr="00F809D2">
        <w:rPr>
          <w:spacing w:val="-2"/>
        </w:rPr>
        <w:t>impugnazione della sentenza in cassazione. Il rilascio della procura per il giudizio in cassazione, ove non contenuta in precedenti dichiarazioni, deve avvenire con le forme ordinarie esaminate a proposito dell</w:t>
      </w:r>
      <w:r>
        <w:rPr>
          <w:spacing w:val="-2"/>
        </w:rPr>
        <w:t>’</w:t>
      </w:r>
      <w:r w:rsidRPr="00F809D2">
        <w:rPr>
          <w:spacing w:val="-2"/>
        </w:rPr>
        <w:t>art. 100 c.p.p.</w:t>
      </w:r>
    </w:p>
  </w:footnote>
  <w:footnote w:id="4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>uadro essenziale, il ricorso può avere ad oggetto le sentenze emesse in grado di appello ma anche quelle emesse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  <w:footnote w:id="5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 motivi sono qu</w:t>
      </w:r>
      <w:r>
        <w:t>elli di cui all’art.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70DB7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2016-06-01T14:18:00Z</dcterms:modified>
</cp:coreProperties>
</file>