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D5674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D56745" w:rsidP="003E3E8F">
            <w:pPr>
              <w:pStyle w:val="DicituraAtto"/>
            </w:pPr>
            <w:r w:rsidRPr="00520244">
              <w:t>3</w:t>
            </w:r>
            <w:r w:rsidR="00EF5AC1" w:rsidRPr="00520244">
              <w:t>4</w:t>
            </w:r>
            <w:r w:rsidR="003E3E8F" w:rsidRPr="00520244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D5674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D56745" w:rsidP="00D56745">
            <w:pPr>
              <w:pStyle w:val="TitoloAtto"/>
            </w:pPr>
            <w:r w:rsidRPr="00520244">
              <w:t>Ricorso per cassazione del querelante</w:t>
            </w:r>
          </w:p>
        </w:tc>
      </w:tr>
    </w:tbl>
    <w:p w:rsidR="00E403BD" w:rsidRPr="00520244" w:rsidRDefault="00E403BD" w:rsidP="001E41D7">
      <w:pPr>
        <w:pStyle w:val="CapoversoAtti"/>
      </w:pPr>
    </w:p>
    <w:p w:rsidR="00E403BD" w:rsidRPr="00520244" w:rsidRDefault="00E403BD" w:rsidP="001E41D7">
      <w:pPr>
        <w:pStyle w:val="CapoversoAtti"/>
      </w:pPr>
    </w:p>
    <w:p w:rsidR="00D56745" w:rsidRPr="00520244" w:rsidRDefault="00D56745" w:rsidP="001E41D7">
      <w:pPr>
        <w:pStyle w:val="CapoversoAtti"/>
      </w:pPr>
    </w:p>
    <w:p w:rsidR="00E403BD" w:rsidRPr="00520244" w:rsidRDefault="00A9166A" w:rsidP="00EF5AC1">
      <w:pPr>
        <w:pStyle w:val="CapoversoAtti"/>
        <w:spacing w:line="230" w:lineRule="exact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F5AC1">
      <w:pPr>
        <w:pStyle w:val="CapoversoAtti"/>
        <w:spacing w:line="230" w:lineRule="exact"/>
      </w:pPr>
    </w:p>
    <w:p w:rsidR="00E403BD" w:rsidRPr="00520244" w:rsidRDefault="00E403BD" w:rsidP="00EF5AC1">
      <w:pPr>
        <w:pStyle w:val="CapoversoAtti"/>
        <w:spacing w:line="230" w:lineRule="exact"/>
      </w:pPr>
    </w:p>
    <w:p w:rsidR="00E403BD" w:rsidRPr="00520244" w:rsidRDefault="00E403BD" w:rsidP="00EF5AC1">
      <w:pPr>
        <w:pStyle w:val="CapoversoAtti"/>
        <w:spacing w:line="230" w:lineRule="exact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 di … … … (nome e cognome), in qualità di querelante nel procedimento penale n. ... ... ..., come da nomina rilasciata … ...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>, propone ricorso per cassazione ai sensi dell</w:t>
      </w:r>
      <w:r w:rsidR="00C30C56" w:rsidRPr="00520244">
        <w:t>’</w:t>
      </w:r>
      <w:r w:rsidRPr="00520244">
        <w:t xml:space="preserve">art. 576, comma 2, c.p.p. e per gli effetti dallo stesso previsti,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t xml:space="preserve"> in data …/…/..., nel</w:t>
      </w:r>
      <w:r w:rsidR="00EF5AC1" w:rsidRPr="00520244">
        <w:softHyphen/>
      </w:r>
      <w:r w:rsidRPr="00520244">
        <w:t>l</w:t>
      </w:r>
      <w:r w:rsidR="00C30C56" w:rsidRPr="00520244">
        <w:t>’</w:t>
      </w:r>
      <w:r w:rsidRPr="00520244">
        <w:t>assolvere l</w:t>
      </w:r>
      <w:r w:rsidR="00C30C56" w:rsidRPr="00520244">
        <w:t>’</w:t>
      </w:r>
      <w:r w:rsidRPr="00520244">
        <w:t>imputato, ha condannato il querelante al pagamento delle spese del procedimento nonché alla refusione delle spese ed al risarcimento del danno in favore dell</w:t>
      </w:r>
      <w:r w:rsidR="00C30C56" w:rsidRPr="00520244">
        <w:t>’</w:t>
      </w:r>
      <w:r w:rsidRPr="00520244">
        <w:t>imputato e del responsabile civile.</w:t>
      </w:r>
    </w:p>
    <w:p w:rsidR="00E403BD" w:rsidRPr="00520244" w:rsidRDefault="00E403BD" w:rsidP="00EF5AC1">
      <w:pPr>
        <w:pStyle w:val="CapoversoAtti"/>
        <w:spacing w:before="360" w:line="230" w:lineRule="exact"/>
        <w:jc w:val="center"/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4"/>
      </w:r>
    </w:p>
    <w:p w:rsidR="00E403BD" w:rsidRPr="00520244" w:rsidRDefault="00E403BD" w:rsidP="00EF5AC1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EF5AC1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EF5AC1">
      <w:pPr>
        <w:pStyle w:val="CapoversoAtti"/>
        <w:spacing w:line="230" w:lineRule="exact"/>
      </w:pPr>
      <w:r w:rsidRPr="00520244">
        <w:t>… … …</w:t>
      </w:r>
    </w:p>
    <w:p w:rsidR="00E403BD" w:rsidRPr="00520244" w:rsidRDefault="00E403BD" w:rsidP="00EF5AC1">
      <w:pPr>
        <w:pStyle w:val="CapoversoAtti"/>
        <w:spacing w:line="230" w:lineRule="exact"/>
      </w:pPr>
    </w:p>
    <w:p w:rsidR="00E403BD" w:rsidRPr="00520244" w:rsidRDefault="00E403BD" w:rsidP="00EF5AC1">
      <w:pPr>
        <w:pStyle w:val="CapoversoAtti"/>
        <w:spacing w:line="230" w:lineRule="exact"/>
      </w:pPr>
      <w:r w:rsidRPr="00520244">
        <w:t>In relazione a quanto precede, chiede l</w:t>
      </w:r>
      <w:r w:rsidR="00C30C56" w:rsidRPr="00520244">
        <w:t>’</w:t>
      </w:r>
      <w:r w:rsidRPr="00520244">
        <w:t>annullamento dell</w:t>
      </w:r>
      <w:r w:rsidR="00C30C56" w:rsidRPr="00520244">
        <w:t>’</w:t>
      </w:r>
      <w:r w:rsidRPr="00520244">
        <w:t>impugnata sentenza con rinvio/senza rinvio.</w:t>
      </w:r>
    </w:p>
    <w:p w:rsidR="00E403BD" w:rsidRPr="00520244" w:rsidRDefault="00E403BD" w:rsidP="00EF5AC1">
      <w:pPr>
        <w:pStyle w:val="CapoversoAtti"/>
        <w:spacing w:before="120" w:line="230" w:lineRule="exact"/>
      </w:pPr>
      <w:r w:rsidRPr="00520244">
        <w:t>Luogo e data</w:t>
      </w:r>
    </w:p>
    <w:p w:rsidR="00182A74" w:rsidRPr="00966FF8" w:rsidRDefault="00E403BD" w:rsidP="00F57A80">
      <w:pPr>
        <w:pStyle w:val="CapoversoAtti"/>
        <w:spacing w:line="230" w:lineRule="exact"/>
        <w:jc w:val="right"/>
        <w:rPr>
          <w:sz w:val="2"/>
          <w:szCs w:val="2"/>
        </w:rPr>
      </w:pPr>
      <w:r w:rsidRPr="00520244">
        <w:t>Sottoscrizione del difensore</w:t>
      </w:r>
      <w:bookmarkStart w:id="0" w:name="_GoBack"/>
      <w:bookmarkEnd w:id="0"/>
    </w:p>
    <w:sectPr w:rsidR="00182A74" w:rsidRPr="00966FF8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</w:t>
      </w:r>
      <w:r w:rsidRPr="00DD49A1">
        <w:t>orte di cassazione e che, secondo la giurisprudenza, esso, può essere sottoscritto anche personalmente dalla parte solo nel caso in cui questa coincida con l</w:t>
      </w:r>
      <w:r>
        <w:t>’</w:t>
      </w:r>
      <w:r w:rsidRPr="00DD49A1">
        <w:t>imputato.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Benché l</w:t>
      </w:r>
      <w:r>
        <w:t>’</w:t>
      </w:r>
      <w:r w:rsidRPr="00DD49A1">
        <w:t>art. 576 c.p.p. statuisca che il querelante possa proporre impugnazione avverso la condanna alle spese ed ai danni pronunciata nei suoi confronti ai sensi dell</w:t>
      </w:r>
      <w:r>
        <w:t>’</w:t>
      </w:r>
      <w:r w:rsidRPr="00DD49A1">
        <w:t>art. 542 c.p.p., il codice non indica in che forma il querelante sta in giudizio. È opportuno che egli rilasci una specifica nomina al difensore per l</w:t>
      </w:r>
      <w:r>
        <w:t>’</w:t>
      </w:r>
      <w:r w:rsidRPr="00DD49A1">
        <w:t>impugnazione della sentenza che contenga la cond</w:t>
      </w:r>
      <w:r>
        <w:t>anna di cui all’art. 542 c.p.p.</w:t>
      </w:r>
      <w:r w:rsidRPr="00DD49A1">
        <w:t xml:space="preserve"> Nel caso in cui il ricorso sia esperito avverso sentenza emessa in grado di appello con la quale sia stata rigettata l</w:t>
      </w:r>
      <w:r>
        <w:t>’</w:t>
      </w:r>
      <w:r w:rsidRPr="00DD49A1">
        <w:t xml:space="preserve">impugnazione avverso la condanna pronunciata in primo grado, sarà necessario che il querelante rilasci mandato </w:t>
      </w:r>
      <w:r w:rsidRPr="00DD49A1">
        <w:rPr>
          <w:i/>
        </w:rPr>
        <w:t xml:space="preserve">ad hoc </w:t>
      </w:r>
      <w:r w:rsidRPr="00DD49A1">
        <w:t>per l</w:t>
      </w:r>
      <w:r>
        <w:t>’</w:t>
      </w:r>
      <w:r w:rsidRPr="00DD49A1">
        <w:t>impugnazione della sentenza. Il modello, con gli opportuni adattamenti, è quello previsto per l</w:t>
      </w:r>
      <w:r>
        <w:t>’</w:t>
      </w:r>
      <w:r w:rsidRPr="00DD49A1">
        <w:t>imputato.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>uadro essenziale, il ricorso può avere ad oggetto le sentenze emesse in grado di appello ma anche quelle emesse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  <w:footnote w:id="4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 motivi sono que</w:t>
      </w:r>
      <w:r>
        <w:t>lli di cui all’art.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57A80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2016-06-01T14:19:00Z</dcterms:modified>
</cp:coreProperties>
</file>