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5AE" w:rsidRPr="00CF0D14" w:rsidRDefault="008445AE" w:rsidP="00024F11">
      <w:pPr>
        <w:widowControl w:val="0"/>
        <w:jc w:val="both"/>
        <w:rPr>
          <w:i/>
          <w:iCs/>
          <w:sz w:val="2"/>
          <w:szCs w:val="2"/>
        </w:rPr>
      </w:pPr>
    </w:p>
    <w:tbl>
      <w:tblPr>
        <w:tblW w:w="6521" w:type="dxa"/>
        <w:tblInd w:w="108" w:type="dxa"/>
        <w:tblLook w:val="01E0" w:firstRow="1" w:lastRow="1" w:firstColumn="1" w:lastColumn="1" w:noHBand="0" w:noVBand="0"/>
      </w:tblPr>
      <w:tblGrid>
        <w:gridCol w:w="537"/>
        <w:gridCol w:w="5984"/>
      </w:tblGrid>
      <w:tr w:rsidR="00EE12BE" w:rsidRPr="00CF0D14" w:rsidTr="00EE12BE">
        <w:tc>
          <w:tcPr>
            <w:tcW w:w="537" w:type="dxa"/>
            <w:tcBorders>
              <w:bottom w:val="single" w:sz="4" w:space="0" w:color="5F5F5F"/>
              <w:right w:val="single" w:sz="4" w:space="0" w:color="5F5F5F"/>
            </w:tcBorders>
            <w:shd w:val="clear" w:color="auto" w:fill="auto"/>
            <w:vAlign w:val="center"/>
          </w:tcPr>
          <w:p w:rsidR="00EE12BE" w:rsidRPr="00CF0D14" w:rsidRDefault="00EE12BE" w:rsidP="00010B16">
            <w:pPr>
              <w:pStyle w:val="DicituraAtto"/>
            </w:pPr>
            <w:r w:rsidRPr="00CF0D14">
              <w:t>1</w:t>
            </w:r>
            <w:r w:rsidR="00010B16" w:rsidRPr="00CF0D14">
              <w:t>41</w:t>
            </w:r>
          </w:p>
        </w:tc>
        <w:tc>
          <w:tcPr>
            <w:tcW w:w="5984" w:type="dxa"/>
            <w:tcBorders>
              <w:left w:val="single" w:sz="4" w:space="0" w:color="5F5F5F"/>
              <w:bottom w:val="single" w:sz="4" w:space="0" w:color="5F5F5F"/>
            </w:tcBorders>
          </w:tcPr>
          <w:p w:rsidR="00EE12BE" w:rsidRPr="00CF0D14" w:rsidRDefault="00EE12BE" w:rsidP="00024F11">
            <w:pPr>
              <w:widowControl w:val="0"/>
              <w:tabs>
                <w:tab w:val="left" w:pos="3420"/>
              </w:tabs>
              <w:jc w:val="center"/>
              <w:rPr>
                <w:rFonts w:ascii="Arial" w:hAnsi="Arial" w:cs="Arial"/>
                <w:b/>
                <w:i/>
                <w:sz w:val="22"/>
                <w:szCs w:val="22"/>
              </w:rPr>
            </w:pPr>
          </w:p>
        </w:tc>
      </w:tr>
      <w:tr w:rsidR="00EE12BE" w:rsidRPr="00CF0D14" w:rsidTr="00EE12BE">
        <w:trPr>
          <w:trHeight w:val="352"/>
        </w:trPr>
        <w:tc>
          <w:tcPr>
            <w:tcW w:w="537" w:type="dxa"/>
            <w:tcBorders>
              <w:top w:val="single" w:sz="4" w:space="0" w:color="5F5F5F"/>
              <w:right w:val="single" w:sz="4" w:space="0" w:color="5F5F5F"/>
            </w:tcBorders>
            <w:vAlign w:val="center"/>
          </w:tcPr>
          <w:p w:rsidR="00EE12BE" w:rsidRPr="00CF0D14" w:rsidRDefault="00EE12BE" w:rsidP="00024F11">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EE12BE" w:rsidRPr="00CF0D14" w:rsidRDefault="00EE12BE" w:rsidP="00024F11">
            <w:pPr>
              <w:pStyle w:val="TitoloAtto"/>
            </w:pPr>
            <w:r w:rsidRPr="00CF0D14">
              <w:t>Querela proposta dal legale rappresentante di una per</w:t>
            </w:r>
            <w:r w:rsidR="00B223F2">
              <w:softHyphen/>
            </w:r>
            <w:r w:rsidRPr="00CF0D14">
              <w:t>sona giuridica, un ente o una associazione</w:t>
            </w:r>
          </w:p>
        </w:tc>
      </w:tr>
    </w:tbl>
    <w:p w:rsidR="008445AE" w:rsidRPr="00CF0D14" w:rsidRDefault="008445AE" w:rsidP="00024F11">
      <w:pPr>
        <w:pStyle w:val="CapoversoAtti"/>
        <w:rPr>
          <w:b/>
        </w:rPr>
      </w:pPr>
    </w:p>
    <w:p w:rsidR="008445AE" w:rsidRPr="00CF0D14" w:rsidRDefault="008445AE" w:rsidP="00024F11">
      <w:pPr>
        <w:pStyle w:val="CapoversoAtti"/>
        <w:rPr>
          <w:b/>
          <w:bCs/>
        </w:rPr>
      </w:pPr>
    </w:p>
    <w:p w:rsidR="008445AE" w:rsidRPr="00CF0D14" w:rsidRDefault="008445AE" w:rsidP="00024F11">
      <w:pPr>
        <w:pStyle w:val="CapoversoAtti"/>
        <w:jc w:val="center"/>
      </w:pPr>
      <w:r w:rsidRPr="00CF0D14">
        <w:t xml:space="preserve">Procura della Repubblica presso il </w:t>
      </w:r>
      <w:r w:rsidR="00125F7A">
        <w:t>Tribunale</w:t>
      </w:r>
      <w:r w:rsidRPr="00CF0D14">
        <w:t xml:space="preserve"> di ... … …</w:t>
      </w:r>
    </w:p>
    <w:p w:rsidR="008445AE" w:rsidRPr="00CF0D14" w:rsidRDefault="008445AE" w:rsidP="00024F11">
      <w:pPr>
        <w:pStyle w:val="CapoversoAtti"/>
      </w:pPr>
    </w:p>
    <w:p w:rsidR="00EE12BE" w:rsidRPr="00CF0D14" w:rsidRDefault="00EE12BE" w:rsidP="00024F11">
      <w:pPr>
        <w:pStyle w:val="CapoversoAtti"/>
      </w:pPr>
    </w:p>
    <w:p w:rsidR="00EE12BE" w:rsidRPr="00CF0D14" w:rsidRDefault="00EE12BE" w:rsidP="00024F11">
      <w:pPr>
        <w:pStyle w:val="CapoversoAtti"/>
      </w:pPr>
    </w:p>
    <w:p w:rsidR="008445AE" w:rsidRPr="00CF0D14" w:rsidRDefault="008445AE" w:rsidP="00024F11">
      <w:pPr>
        <w:pStyle w:val="CapoversoAtti"/>
        <w:rPr>
          <w:spacing w:val="-2"/>
        </w:rPr>
      </w:pPr>
      <w:r w:rsidRPr="00CF0D14">
        <w:t>Il sottoscritto Sig. … … … (nome e cognome, luogo e data di nascita, residen</w:t>
      </w:r>
      <w:r w:rsidRPr="00CF0D14">
        <w:rPr>
          <w:spacing w:val="-2"/>
        </w:rPr>
        <w:t>za o domicilio), nella propria qualità di … … …</w:t>
      </w:r>
      <w:r w:rsidRPr="00CF0D14">
        <w:rPr>
          <w:snapToGrid w:val="0"/>
          <w:spacing w:val="-2"/>
          <w:u w:color="000000"/>
        </w:rPr>
        <w:t> </w:t>
      </w:r>
      <w:r w:rsidRPr="00CF0D14">
        <w:rPr>
          <w:rStyle w:val="Rimandonotaapidipagina"/>
          <w:snapToGrid w:val="0"/>
          <w:spacing w:val="-2"/>
          <w:u w:color="000000"/>
        </w:rPr>
        <w:footnoteReference w:id="1"/>
      </w:r>
    </w:p>
    <w:p w:rsidR="008445AE" w:rsidRPr="00CF0D14" w:rsidRDefault="008445AE" w:rsidP="00024F11">
      <w:pPr>
        <w:pStyle w:val="CapoversoAtti"/>
      </w:pPr>
    </w:p>
    <w:p w:rsidR="008445AE" w:rsidRPr="00CF0D14" w:rsidRDefault="008445AE" w:rsidP="00024F11">
      <w:pPr>
        <w:pStyle w:val="CapoversoAtti"/>
        <w:jc w:val="center"/>
      </w:pPr>
      <w:proofErr w:type="gramStart"/>
      <w:r w:rsidRPr="00CF0D14">
        <w:rPr>
          <w:i/>
        </w:rPr>
        <w:t>espone</w:t>
      </w:r>
      <w:proofErr w:type="gramEnd"/>
      <w:r w:rsidRPr="00CF0D14">
        <w:rPr>
          <w:snapToGrid w:val="0"/>
          <w:u w:color="000000"/>
        </w:rPr>
        <w:t> </w:t>
      </w:r>
      <w:r w:rsidRPr="00CF0D14">
        <w:rPr>
          <w:rStyle w:val="Rimandonotaapidipagina"/>
          <w:snapToGrid w:val="0"/>
          <w:u w:color="000000"/>
        </w:rPr>
        <w:footnoteReference w:id="2"/>
      </w:r>
    </w:p>
    <w:p w:rsidR="008445AE" w:rsidRPr="00CF0D14" w:rsidRDefault="008445AE" w:rsidP="00024F11">
      <w:pPr>
        <w:pStyle w:val="CapoversoAtti"/>
        <w:spacing w:line="220" w:lineRule="exact"/>
      </w:pPr>
    </w:p>
    <w:p w:rsidR="008445AE" w:rsidRPr="00CF0D14" w:rsidRDefault="008445AE" w:rsidP="00024F11">
      <w:pPr>
        <w:pStyle w:val="CapoversoAtti"/>
      </w:pPr>
      <w:r w:rsidRPr="00CF0D14">
        <w:t>… … …</w:t>
      </w:r>
    </w:p>
    <w:p w:rsidR="008445AE" w:rsidRPr="00CF0D14" w:rsidRDefault="008445AE" w:rsidP="00024F11">
      <w:pPr>
        <w:pStyle w:val="CapoversoAtti"/>
      </w:pPr>
      <w:r w:rsidRPr="00CF0D14">
        <w:t>… … …</w:t>
      </w:r>
    </w:p>
    <w:p w:rsidR="008445AE" w:rsidRPr="00CF0D14" w:rsidRDefault="008445AE" w:rsidP="00024F11">
      <w:pPr>
        <w:pStyle w:val="CapoversoAtti"/>
        <w:spacing w:line="220" w:lineRule="exact"/>
      </w:pPr>
    </w:p>
    <w:p w:rsidR="008445AE" w:rsidRPr="00CF0D14" w:rsidRDefault="008445AE" w:rsidP="00024F11">
      <w:pPr>
        <w:pStyle w:val="CapoversoAtti"/>
      </w:pPr>
      <w:r w:rsidRPr="00CF0D14">
        <w:t>In relazione a quanto precede, il sottoscritto, nella propria qualità di … … …, propone,</w:t>
      </w:r>
      <w:r w:rsidRPr="00CF0D14">
        <w:rPr>
          <w:rFonts w:ascii="Bookman Old Style" w:hAnsi="Bookman Old Style"/>
        </w:rPr>
        <w:t xml:space="preserve"> </w:t>
      </w:r>
      <w:r w:rsidRPr="00CF0D14">
        <w:t>ai sensi del disposto di cui all</w:t>
      </w:r>
      <w:r w:rsidR="00576207" w:rsidRPr="00CF0D14">
        <w:t>’</w:t>
      </w:r>
      <w:r w:rsidRPr="00CF0D14">
        <w:t>art. 336 c.p.p., querela nei confronti del/dei Sig./Sig.ri … … … (nome e cognome)</w:t>
      </w:r>
      <w:r w:rsidRPr="00CF0D14">
        <w:rPr>
          <w:rStyle w:val="Rimandonotaapidipagina"/>
          <w:snapToGrid w:val="0"/>
          <w:u w:color="000000"/>
        </w:rPr>
        <w:footnoteReference w:id="3"/>
      </w:r>
      <w:r w:rsidRPr="00CF0D14">
        <w:t>, per il/i reato/reati previsto/previsti e punito/puniti dall</w:t>
      </w:r>
      <w:r w:rsidR="00576207" w:rsidRPr="00CF0D14">
        <w:t>’</w:t>
      </w:r>
      <w:r w:rsidRPr="00CF0D14">
        <w:t xml:space="preserve">/dagli art./artt. … … …, nonché per ogni altro reato che verrà eventualmente ravvisato nei fatti suesposti, al fine di ottenere la condanna penale </w:t>
      </w:r>
      <w:proofErr w:type="gramStart"/>
      <w:r w:rsidRPr="00CF0D14">
        <w:t>del</w:t>
      </w:r>
      <w:proofErr w:type="gramEnd"/>
      <w:r w:rsidRPr="00CF0D14">
        <w:t>/dei medesimo /medesimi.</w:t>
      </w:r>
    </w:p>
    <w:p w:rsidR="008445AE" w:rsidRPr="00CF0D14" w:rsidRDefault="008445AE" w:rsidP="00024F11">
      <w:pPr>
        <w:pStyle w:val="CapoversoAtti"/>
      </w:pPr>
      <w:r w:rsidRPr="00CF0D14">
        <w:t xml:space="preserve">Si oppone alla definizione del presente procedimento penale con la forma del decreto penale di </w:t>
      </w:r>
      <w:proofErr w:type="gramStart"/>
      <w:r w:rsidRPr="00CF0D14">
        <w:t xml:space="preserve">condanna </w:t>
      </w:r>
      <w:r w:rsidRPr="00CF0D14">
        <w:rPr>
          <w:rStyle w:val="Rimandonotaapidipagina"/>
          <w:snapToGrid w:val="0"/>
          <w:u w:color="000000"/>
        </w:rPr>
        <w:footnoteReference w:id="4"/>
      </w:r>
      <w:r w:rsidRPr="00CF0D14">
        <w:t>.</w:t>
      </w:r>
      <w:proofErr w:type="gramEnd"/>
    </w:p>
    <w:p w:rsidR="008445AE" w:rsidRPr="00CF0D14" w:rsidRDefault="008445AE" w:rsidP="00024F11">
      <w:pPr>
        <w:pStyle w:val="CapoversoAtti"/>
      </w:pPr>
      <w:r w:rsidRPr="00CF0D14">
        <w:t>Chiede, fin d</w:t>
      </w:r>
      <w:r w:rsidR="00576207" w:rsidRPr="00CF0D14">
        <w:t>’</w:t>
      </w:r>
      <w:r w:rsidRPr="00CF0D14">
        <w:t>ora, di essere informato, ai sensi dell</w:t>
      </w:r>
      <w:r w:rsidR="00576207" w:rsidRPr="00CF0D14">
        <w:t>’</w:t>
      </w:r>
      <w:r w:rsidRPr="00CF0D14">
        <w:t xml:space="preserve">art. 408, comma 2, c.p.p., nella ipotesi in cui venga avanzata richiesta di </w:t>
      </w:r>
      <w:proofErr w:type="gramStart"/>
      <w:r w:rsidRPr="00CF0D14">
        <w:t>archiviazione</w:t>
      </w:r>
      <w:r w:rsidRPr="00CF0D14">
        <w:rPr>
          <w:snapToGrid w:val="0"/>
          <w:u w:color="000000"/>
        </w:rPr>
        <w:t> </w:t>
      </w:r>
      <w:r w:rsidRPr="00CF0D14">
        <w:rPr>
          <w:rStyle w:val="Rimandonotaapidipagina"/>
          <w:snapToGrid w:val="0"/>
          <w:u w:color="000000"/>
        </w:rPr>
        <w:footnoteReference w:id="5"/>
      </w:r>
      <w:r w:rsidRPr="00CF0D14">
        <w:rPr>
          <w:bCs/>
        </w:rPr>
        <w:t xml:space="preserve"> nonché</w:t>
      </w:r>
      <w:proofErr w:type="gramEnd"/>
      <w:r w:rsidRPr="00CF0D14">
        <w:rPr>
          <w:bCs/>
        </w:rPr>
        <w:t>, ai sensi dell</w:t>
      </w:r>
      <w:r w:rsidR="00576207" w:rsidRPr="00CF0D14">
        <w:rPr>
          <w:bCs/>
        </w:rPr>
        <w:t>’</w:t>
      </w:r>
      <w:r w:rsidRPr="00CF0D14">
        <w:rPr>
          <w:bCs/>
        </w:rPr>
        <w:t xml:space="preserve">art. </w:t>
      </w:r>
      <w:r w:rsidRPr="00CF0D14">
        <w:rPr>
          <w:bCs/>
        </w:rPr>
        <w:lastRenderedPageBreak/>
        <w:t>406, comma 3, c.p.p., della eventuale richiesta di proroga delle indagini preliminari</w:t>
      </w:r>
      <w:r w:rsidRPr="00CF0D14">
        <w:rPr>
          <w:snapToGrid w:val="0"/>
          <w:u w:color="000000"/>
        </w:rPr>
        <w:t> </w:t>
      </w:r>
      <w:r w:rsidRPr="00CF0D14">
        <w:rPr>
          <w:rStyle w:val="Rimandonotaapidipagina"/>
          <w:snapToGrid w:val="0"/>
          <w:u w:color="000000"/>
        </w:rPr>
        <w:footnoteReference w:id="6"/>
      </w:r>
      <w:r w:rsidRPr="00CF0D14">
        <w:rPr>
          <w:bCs/>
        </w:rPr>
        <w:t>.</w:t>
      </w:r>
    </w:p>
    <w:p w:rsidR="008445AE" w:rsidRPr="00CF0D14" w:rsidRDefault="008445AE" w:rsidP="00024F11">
      <w:pPr>
        <w:pStyle w:val="CapoversoAtti"/>
      </w:pPr>
      <w:r w:rsidRPr="00CF0D14">
        <w:t>Nomina, quale difensore, l</w:t>
      </w:r>
      <w:r w:rsidR="00576207" w:rsidRPr="00CF0D14">
        <w:t>’</w:t>
      </w:r>
      <w:r w:rsidRPr="00CF0D14">
        <w:t>Avv. … … … (nome e cognome), con studio in … … … Via … … …, n. … … …</w:t>
      </w:r>
      <w:r w:rsidRPr="00CF0D14">
        <w:rPr>
          <w:rStyle w:val="Rimandonotaapidipagina"/>
          <w:snapToGrid w:val="0"/>
          <w:u w:color="000000"/>
        </w:rPr>
        <w:footnoteReference w:id="7"/>
      </w:r>
      <w:r w:rsidRPr="00CF0D14">
        <w:t>, a lui/lei conferendo ogni più ampia facoltà inerente al mandato.</w:t>
      </w:r>
    </w:p>
    <w:p w:rsidR="008445AE" w:rsidRPr="00CF0D14" w:rsidRDefault="008445AE" w:rsidP="00024F11">
      <w:pPr>
        <w:pStyle w:val="CapoversoAtti"/>
      </w:pPr>
      <w:r w:rsidRPr="00CF0D14">
        <w:rPr>
          <w:spacing w:val="4"/>
        </w:rPr>
        <w:t>Si indicano, quali persone in grado di riferire sui fatti in narrazione, i Sig.ri …</w:t>
      </w:r>
      <w:r w:rsidRPr="00CF0D14">
        <w:t xml:space="preserve"> … … (nomi e cognomi) e si producono i seguenti documenti … … </w:t>
      </w:r>
      <w:proofErr w:type="gramStart"/>
      <w:r w:rsidRPr="00CF0D14">
        <w:t>…</w:t>
      </w:r>
      <w:r w:rsidRPr="00CF0D14">
        <w:rPr>
          <w:snapToGrid w:val="0"/>
          <w:u w:color="000000"/>
        </w:rPr>
        <w:t> </w:t>
      </w:r>
      <w:r w:rsidRPr="00CF0D14">
        <w:rPr>
          <w:rStyle w:val="Rimandonotaapidipagina"/>
          <w:snapToGrid w:val="0"/>
          <w:u w:color="000000"/>
        </w:rPr>
        <w:footnoteReference w:id="8"/>
      </w:r>
      <w:r w:rsidRPr="00CF0D14">
        <w:rPr>
          <w:snapToGrid w:val="0"/>
          <w:u w:color="000000"/>
        </w:rPr>
        <w:t>.</w:t>
      </w:r>
      <w:proofErr w:type="gramEnd"/>
    </w:p>
    <w:p w:rsidR="008445AE" w:rsidRPr="00CF0D14" w:rsidRDefault="008445AE" w:rsidP="00024F11">
      <w:pPr>
        <w:pStyle w:val="CapoversoAtti"/>
      </w:pPr>
    </w:p>
    <w:p w:rsidR="008445AE" w:rsidRPr="00CF0D14" w:rsidRDefault="008445AE" w:rsidP="00024F11">
      <w:pPr>
        <w:pStyle w:val="CapoversoAtti"/>
      </w:pPr>
      <w:r w:rsidRPr="00CF0D14">
        <w:t>Luogo e data</w:t>
      </w:r>
    </w:p>
    <w:p w:rsidR="008445AE" w:rsidRPr="00CF0D14" w:rsidRDefault="008445AE" w:rsidP="00024F11">
      <w:pPr>
        <w:pStyle w:val="CapoversoAtti"/>
        <w:jc w:val="right"/>
      </w:pPr>
      <w:r w:rsidRPr="00CF0D14">
        <w:t xml:space="preserve">Sottoscrizione del legale rappresentante della </w:t>
      </w:r>
    </w:p>
    <w:p w:rsidR="00182A74" w:rsidRPr="00C01A4F" w:rsidRDefault="008445AE" w:rsidP="00BC50BA">
      <w:pPr>
        <w:pStyle w:val="CapoversoAtti"/>
        <w:jc w:val="right"/>
        <w:rPr>
          <w:sz w:val="2"/>
          <w:szCs w:val="2"/>
        </w:rPr>
      </w:pPr>
      <w:proofErr w:type="gramStart"/>
      <w:r w:rsidRPr="00CF0D14">
        <w:t>persona</w:t>
      </w:r>
      <w:proofErr w:type="gramEnd"/>
      <w:r w:rsidRPr="00CF0D14">
        <w:t xml:space="preserve"> giuridica, dell</w:t>
      </w:r>
      <w:r w:rsidR="00576207" w:rsidRPr="00CF0D14">
        <w:t>’</w:t>
      </w:r>
      <w:r w:rsidRPr="00CF0D14">
        <w:t>ente o dell</w:t>
      </w:r>
      <w:r w:rsidR="00576207" w:rsidRPr="00CF0D14">
        <w:t>’</w:t>
      </w:r>
      <w:r w:rsidRPr="00CF0D14">
        <w:t>associazione</w:t>
      </w:r>
      <w:r w:rsidRPr="00CF0D14">
        <w:rPr>
          <w:snapToGrid w:val="0"/>
          <w:u w:color="000000"/>
        </w:rPr>
        <w:t> </w:t>
      </w:r>
      <w:r w:rsidRPr="00CF0D14">
        <w:rPr>
          <w:rStyle w:val="Rimandonotaapidipagina"/>
          <w:snapToGrid w:val="0"/>
          <w:u w:color="000000"/>
        </w:rPr>
        <w:footnoteReference w:id="9"/>
      </w:r>
    </w:p>
    <w:sectPr w:rsidR="00182A74" w:rsidRPr="00C01A4F" w:rsidSect="00ED297D">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91" w:rsidRDefault="00D32991">
      <w:r>
        <w:separator/>
      </w:r>
    </w:p>
    <w:p w:rsidR="00D32991" w:rsidRDefault="00D32991"/>
    <w:p w:rsidR="00D32991" w:rsidRDefault="00D32991"/>
    <w:p w:rsidR="00D32991" w:rsidRDefault="00D32991"/>
  </w:endnote>
  <w:endnote w:type="continuationSeparator" w:id="0">
    <w:p w:rsidR="00D32991" w:rsidRDefault="00D32991">
      <w:r>
        <w:continuationSeparator/>
      </w:r>
    </w:p>
    <w:p w:rsidR="00D32991" w:rsidRDefault="00D32991"/>
    <w:p w:rsidR="00D32991" w:rsidRDefault="00D32991"/>
    <w:p w:rsidR="00D32991" w:rsidRDefault="00D3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BA" w:rsidRDefault="00BC50B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BA" w:rsidRDefault="00BC50B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BA" w:rsidRDefault="00BC50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id="1">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La dichiarazione di querela proposta dal legale rappresentante di una persona giuridica, di un ente o di una associazione, deve contenere la indicazione specifica della fonte dei poteri di rappresentanza (art. 337, comma 3, c.p.p.). Secondo la giurisprudenza di legittimità, tuttavia, il mero riferimento al possesso della relativa qualità si palesa sufficiente (</w:t>
      </w:r>
      <w:proofErr w:type="spellStart"/>
      <w:proofErr w:type="gramStart"/>
      <w:r w:rsidRPr="00CF0D14">
        <w:t>Cass</w:t>
      </w:r>
      <w:proofErr w:type="spellEnd"/>
      <w:r w:rsidRPr="00CF0D14">
        <w:t>.,</w:t>
      </w:r>
      <w:proofErr w:type="gramEnd"/>
      <w:r w:rsidRPr="00CF0D14">
        <w:t xml:space="preserve"> sez. II, 27 giugno 2012, p.m. in </w:t>
      </w:r>
      <w:proofErr w:type="spellStart"/>
      <w:r w:rsidRPr="00CF0D14">
        <w:t>proc</w:t>
      </w:r>
      <w:proofErr w:type="spellEnd"/>
      <w:r w:rsidRPr="00CF0D14">
        <w:t xml:space="preserve">. S. e altro, </w:t>
      </w:r>
      <w:r w:rsidRPr="00CF0D14">
        <w:rPr>
          <w:i/>
        </w:rPr>
        <w:t xml:space="preserve">Foro </w:t>
      </w:r>
      <w:proofErr w:type="spellStart"/>
      <w:proofErr w:type="gramStart"/>
      <w:r w:rsidRPr="00CF0D14">
        <w:rPr>
          <w:i/>
        </w:rPr>
        <w:t>it</w:t>
      </w:r>
      <w:proofErr w:type="spellEnd"/>
      <w:r w:rsidRPr="00CF0D14">
        <w:rPr>
          <w:i/>
        </w:rPr>
        <w:t>.</w:t>
      </w:r>
      <w:r w:rsidRPr="00CF0D14">
        <w:t>,</w:t>
      </w:r>
      <w:proofErr w:type="gramEnd"/>
      <w:r w:rsidRPr="00CF0D14">
        <w:t xml:space="preserve"> 2013, 1, 25; </w:t>
      </w:r>
      <w:proofErr w:type="spellStart"/>
      <w:r w:rsidRPr="00CF0D14">
        <w:t>Cass</w:t>
      </w:r>
      <w:proofErr w:type="spellEnd"/>
      <w:r w:rsidRPr="00CF0D14">
        <w:t xml:space="preserve">., sez. II, 19 settembre 2003, p.m. in </w:t>
      </w:r>
      <w:proofErr w:type="spellStart"/>
      <w:r w:rsidRPr="00CF0D14">
        <w:t>proc</w:t>
      </w:r>
      <w:proofErr w:type="spellEnd"/>
      <w:r w:rsidRPr="00CF0D14">
        <w:t xml:space="preserve">. Pagani, </w:t>
      </w:r>
      <w:r w:rsidRPr="00CF0D14">
        <w:rPr>
          <w:i/>
          <w:iCs/>
        </w:rPr>
        <w:t xml:space="preserve">CED </w:t>
      </w:r>
      <w:proofErr w:type="spellStart"/>
      <w:proofErr w:type="gramStart"/>
      <w:r w:rsidRPr="00CF0D14">
        <w:rPr>
          <w:i/>
          <w:iCs/>
        </w:rPr>
        <w:t>Cass</w:t>
      </w:r>
      <w:proofErr w:type="spellEnd"/>
      <w:r w:rsidRPr="00CF0D14">
        <w:rPr>
          <w:i/>
          <w:iCs/>
        </w:rPr>
        <w:t>.</w:t>
      </w:r>
      <w:r w:rsidRPr="00CF0D14">
        <w:rPr>
          <w:iCs/>
        </w:rPr>
        <w:t>,</w:t>
      </w:r>
      <w:proofErr w:type="gramEnd"/>
      <w:r w:rsidRPr="00CF0D14">
        <w:rPr>
          <w:i/>
          <w:iCs/>
        </w:rPr>
        <w:t xml:space="preserve"> </w:t>
      </w:r>
      <w:r w:rsidRPr="00CF0D14">
        <w:t>227038). V. Quadro essenziale</w:t>
      </w:r>
      <w:r w:rsidR="00B223F2">
        <w:t>,</w:t>
      </w:r>
      <w:r w:rsidRPr="00CF0D14">
        <w:rPr>
          <w:i/>
          <w:iCs/>
        </w:rPr>
        <w:t xml:space="preserve"> </w:t>
      </w:r>
      <w:r w:rsidRPr="00CF0D14">
        <w:rPr>
          <w:iCs/>
        </w:rPr>
        <w:t xml:space="preserve">§ </w:t>
      </w:r>
      <w:r w:rsidRPr="00CF0D14">
        <w:t xml:space="preserve">V, 6. </w:t>
      </w:r>
    </w:p>
  </w:footnote>
  <w:footnote w:id="2">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Illustrare i fatti aventi penale rilevanza. </w:t>
      </w:r>
    </w:p>
  </w:footnote>
  <w:footnote w:id="3">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Oppure: “di chiunque, all’esito delle </w:t>
      </w:r>
      <w:proofErr w:type="spellStart"/>
      <w:r w:rsidRPr="00CF0D14">
        <w:t>espletande</w:t>
      </w:r>
      <w:proofErr w:type="spellEnd"/>
      <w:r w:rsidRPr="00CF0D14">
        <w:t xml:space="preserve"> indagini preliminari, verrà ritenuto responsabile dei fatti narrati”. </w:t>
      </w:r>
    </w:p>
  </w:footnote>
  <w:footnote w:id="4">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Con sentenza n. 23 del 28 gennaio 2015, la Corte costituzionale ha dichiarato l’illegittimità costituzionale dell’art. 459</w:t>
      </w:r>
      <w:r w:rsidR="007B4551" w:rsidRPr="00CF0D14">
        <w:rPr>
          <w:snapToGrid w:val="0"/>
          <w:u w:color="000000"/>
        </w:rPr>
        <w:t>,</w:t>
      </w:r>
      <w:r w:rsidRPr="00CF0D14">
        <w:rPr>
          <w:snapToGrid w:val="0"/>
          <w:u w:color="000000"/>
        </w:rPr>
        <w:t xml:space="preserve"> comma 1</w:t>
      </w:r>
      <w:r w:rsidR="007B4551" w:rsidRPr="00CF0D14">
        <w:rPr>
          <w:snapToGrid w:val="0"/>
          <w:u w:color="000000"/>
        </w:rPr>
        <w:t>,</w:t>
      </w:r>
      <w:r w:rsidRPr="00CF0D14">
        <w:rPr>
          <w:snapToGrid w:val="0"/>
          <w:u w:color="000000"/>
        </w:rPr>
        <w:t xml:space="preserve"> c.p.p., per violazione degli artt. 3 e 111 </w:t>
      </w:r>
      <w:proofErr w:type="spellStart"/>
      <w:proofErr w:type="gramStart"/>
      <w:r w:rsidRPr="00CF0D14">
        <w:rPr>
          <w:snapToGrid w:val="0"/>
          <w:u w:color="000000"/>
        </w:rPr>
        <w:t>Cost</w:t>
      </w:r>
      <w:proofErr w:type="spellEnd"/>
      <w:r w:rsidRPr="00CF0D14">
        <w:rPr>
          <w:snapToGrid w:val="0"/>
          <w:u w:color="000000"/>
        </w:rPr>
        <w:t>.,</w:t>
      </w:r>
      <w:proofErr w:type="gramEnd"/>
      <w:r w:rsidRPr="00CF0D14">
        <w:rPr>
          <w:snapToGrid w:val="0"/>
          <w:u w:color="000000"/>
        </w:rPr>
        <w:t xml:space="preserve"> nella parte in cui </w:t>
      </w:r>
      <w:r w:rsidR="00010B16" w:rsidRPr="00CF0D14">
        <w:rPr>
          <w:snapToGrid w:val="0"/>
          <w:u w:color="000000"/>
        </w:rPr>
        <w:t>“</w:t>
      </w:r>
      <w:r w:rsidRPr="00CF0D14">
        <w:rPr>
          <w:snapToGrid w:val="0"/>
          <w:u w:color="000000"/>
        </w:rPr>
        <w:t>prevede la facoltà del querelante di opporsi, in caso di reati perseguibili a querela, alla definizione del procedimento con l’emissione del decreto penale di condanna</w:t>
      </w:r>
      <w:r w:rsidR="00010B16" w:rsidRPr="00CF0D14">
        <w:rPr>
          <w:snapToGrid w:val="0"/>
          <w:u w:color="000000"/>
        </w:rPr>
        <w:t>”</w:t>
      </w:r>
      <w:r w:rsidRPr="00CF0D14">
        <w:t xml:space="preserve">. </w:t>
      </w:r>
    </w:p>
  </w:footnote>
  <w:footnote w:id="5">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A parere della giurisprudenza di legittimità, l’avviso </w:t>
      </w:r>
      <w:r w:rsidRPr="00CF0D14">
        <w:rPr>
          <w:i/>
          <w:iCs/>
        </w:rPr>
        <w:t xml:space="preserve">de quo </w:t>
      </w:r>
      <w:r w:rsidRPr="00CF0D14">
        <w:t xml:space="preserve">è dovuto anche quando l’istanza di cui all’art. 408, comma 2, c.p.p. sia stata formulata dall’offeso dopo l’avvenuta presentazione della richiesta </w:t>
      </w:r>
      <w:proofErr w:type="spellStart"/>
      <w:r w:rsidRPr="00CF0D14">
        <w:t>archiviativa</w:t>
      </w:r>
      <w:proofErr w:type="spellEnd"/>
      <w:r w:rsidRPr="00CF0D14">
        <w:t>, purché, ovviamente, prima dell’emissione del relativo decreto (</w:t>
      </w:r>
      <w:proofErr w:type="spellStart"/>
      <w:proofErr w:type="gramStart"/>
      <w:r w:rsidRPr="00CF0D14">
        <w:t>Cass</w:t>
      </w:r>
      <w:proofErr w:type="spellEnd"/>
      <w:r w:rsidRPr="00CF0D14">
        <w:t>.,</w:t>
      </w:r>
      <w:proofErr w:type="gramEnd"/>
      <w:r w:rsidRPr="00CF0D14">
        <w:t xml:space="preserve"> sez. IV, 18 maggio 1999, </w:t>
      </w:r>
      <w:proofErr w:type="spellStart"/>
      <w:r w:rsidRPr="00CF0D14">
        <w:t>Ciarrocchi</w:t>
      </w:r>
      <w:proofErr w:type="spellEnd"/>
      <w:r w:rsidRPr="00CF0D14">
        <w:t xml:space="preserve">,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214240; </w:t>
      </w:r>
      <w:proofErr w:type="spellStart"/>
      <w:r w:rsidRPr="00CF0D14">
        <w:t>Cass</w:t>
      </w:r>
      <w:proofErr w:type="spellEnd"/>
      <w:r w:rsidRPr="00CF0D14">
        <w:t xml:space="preserve">., sez. II, 12 luglio 1997, Giovannelli,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208370; </w:t>
      </w:r>
      <w:proofErr w:type="spellStart"/>
      <w:r w:rsidRPr="00CF0D14">
        <w:t>Cass</w:t>
      </w:r>
      <w:proofErr w:type="spellEnd"/>
      <w:r w:rsidRPr="00CF0D14">
        <w:t xml:space="preserve">., sez. VI, 7 luglio 1995, Piscitelli,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rPr>
          <w:i/>
          <w:iCs/>
        </w:rPr>
        <w:t xml:space="preserve"> </w:t>
      </w:r>
      <w:r w:rsidRPr="00CF0D14">
        <w:t xml:space="preserve">202817). </w:t>
      </w:r>
    </w:p>
  </w:footnote>
  <w:footnote w:id="6">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La richiesta di proroga è notificata a cura del </w:t>
      </w:r>
      <w:r w:rsidR="00B223F2">
        <w:t>G</w:t>
      </w:r>
      <w:r w:rsidRPr="00CF0D14">
        <w:t xml:space="preserve">iudice, con l’avviso della facoltà di presentare memorie entro cinque giorni dalla notificazione, alla persona sottoposta alle indagini nonché alla persona offesa dal reato che, nella notizia di reato o successivamente alla sua presentazione, abbia dichiarato di volerne essere informata. Il </w:t>
      </w:r>
      <w:r w:rsidR="00B223F2">
        <w:t>G</w:t>
      </w:r>
      <w:r w:rsidRPr="00CF0D14">
        <w:t xml:space="preserve">iudice provvede entro dieci giorni dalla scadenza del termine per la presentazione delle memorie (art. 406, comma 3, c.p.p.). </w:t>
      </w:r>
    </w:p>
  </w:footnote>
  <w:footnote w:id="7">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V. Quadro essenziale</w:t>
      </w:r>
      <w:r w:rsidR="00B223F2">
        <w:t>,</w:t>
      </w:r>
      <w:r w:rsidRPr="00CF0D14">
        <w:rPr>
          <w:i/>
          <w:iCs/>
        </w:rPr>
        <w:t xml:space="preserve"> </w:t>
      </w:r>
      <w:r w:rsidRPr="00CF0D14">
        <w:rPr>
          <w:iCs/>
        </w:rPr>
        <w:t xml:space="preserve">§ </w:t>
      </w:r>
      <w:r w:rsidRPr="00CF0D14">
        <w:t xml:space="preserve">III, 3. </w:t>
      </w:r>
    </w:p>
  </w:footnote>
  <w:footnote w:id="8">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Quest’ultimo profilo è puramente eventuale.</w:t>
      </w:r>
    </w:p>
  </w:footnote>
  <w:footnote w:id="9">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L’art. 337 c.p.p. configura la sottoscrizione del querelante o del suo procuratore speciale come requisito di forma essenziale per la validità della querela. V. Quadro essenziale</w:t>
      </w:r>
      <w:r w:rsidRPr="00CF0D14">
        <w:rPr>
          <w:i/>
          <w:iCs/>
        </w:rPr>
        <w:t xml:space="preserve"> </w:t>
      </w:r>
      <w:r w:rsidRPr="00CF0D14">
        <w:rPr>
          <w:iCs/>
        </w:rPr>
        <w:t xml:space="preserve">§ </w:t>
      </w:r>
      <w:r w:rsidRPr="00CF0D14">
        <w:t>III, 1. La giurisprudenza di legittimità ritiene che legittimato ad autenticare la firma sia anche il difensore, ma richiede all’uopo un atto di nomina formale riconducibile al querelante (</w:t>
      </w:r>
      <w:proofErr w:type="spellStart"/>
      <w:proofErr w:type="gramStart"/>
      <w:r w:rsidRPr="00CF0D14">
        <w:t>Cass</w:t>
      </w:r>
      <w:proofErr w:type="spellEnd"/>
      <w:r w:rsidRPr="00CF0D14">
        <w:t>.,</w:t>
      </w:r>
      <w:proofErr w:type="gramEnd"/>
      <w:r w:rsidRPr="00CF0D14">
        <w:t xml:space="preserve"> </w:t>
      </w:r>
      <w:r w:rsidRPr="00CF0D14">
        <w:rPr>
          <w:b/>
          <w:bCs/>
        </w:rPr>
        <w:t>sez. un.</w:t>
      </w:r>
      <w:r w:rsidRPr="00CF0D14">
        <w:t xml:space="preserve">, 11 luglio 2006, S., </w:t>
      </w:r>
      <w:r w:rsidRPr="00CF0D14">
        <w:rPr>
          <w:i/>
          <w:iCs/>
        </w:rPr>
        <w:t>Guida dir.</w:t>
      </w:r>
      <w:r w:rsidRPr="00CF0D14">
        <w:t>, 2006, 35, 71;</w:t>
      </w:r>
      <w:r w:rsidRPr="00CF0D14">
        <w:rPr>
          <w:i/>
          <w:iCs/>
        </w:rPr>
        <w:t xml:space="preserve"> </w:t>
      </w:r>
      <w:proofErr w:type="spellStart"/>
      <w:r w:rsidRPr="00CF0D14">
        <w:t>Cass</w:t>
      </w:r>
      <w:proofErr w:type="spellEnd"/>
      <w:r w:rsidRPr="00CF0D14">
        <w:t xml:space="preserve">., sez. III, 19 marzo 2003, </w:t>
      </w:r>
      <w:proofErr w:type="spellStart"/>
      <w:r w:rsidRPr="00CF0D14">
        <w:t>Mladenov</w:t>
      </w:r>
      <w:proofErr w:type="spellEnd"/>
      <w:r w:rsidRPr="00CF0D14">
        <w:t xml:space="preserve">, </w:t>
      </w:r>
      <w:proofErr w:type="spellStart"/>
      <w:r w:rsidRPr="00CF0D14">
        <w:rPr>
          <w:i/>
          <w:iCs/>
        </w:rPr>
        <w:t>Cass</w:t>
      </w:r>
      <w:proofErr w:type="spellEnd"/>
      <w:r w:rsidRPr="00CF0D14">
        <w:rPr>
          <w:i/>
          <w:iCs/>
        </w:rPr>
        <w:t xml:space="preserve">. </w:t>
      </w:r>
      <w:proofErr w:type="spellStart"/>
      <w:proofErr w:type="gramStart"/>
      <w:r w:rsidRPr="00CF0D14">
        <w:rPr>
          <w:i/>
          <w:iCs/>
        </w:rPr>
        <w:t>pen</w:t>
      </w:r>
      <w:proofErr w:type="spellEnd"/>
      <w:r w:rsidRPr="00CF0D14">
        <w:rPr>
          <w:i/>
          <w:iCs/>
        </w:rPr>
        <w:t>.</w:t>
      </w:r>
      <w:r w:rsidRPr="00CF0D14">
        <w:t>,</w:t>
      </w:r>
      <w:proofErr w:type="gramEnd"/>
      <w:r w:rsidRPr="00CF0D14">
        <w:t xml:space="preserve"> 2004, 1722).</w:t>
      </w:r>
    </w:p>
    <w:p w:rsidR="00024F11" w:rsidRPr="00CF0D14" w:rsidRDefault="00024F11" w:rsidP="00024F11">
      <w:pPr>
        <w:pStyle w:val="Testonotaapidipagina"/>
        <w:widowControl w:val="0"/>
        <w:spacing w:line="185" w:lineRule="exact"/>
        <w:ind w:firstLine="284"/>
        <w:jc w:val="both"/>
        <w:rPr>
          <w:sz w:val="16"/>
          <w:szCs w:val="16"/>
        </w:rPr>
      </w:pPr>
      <w:r w:rsidRPr="00CF0D14">
        <w:rPr>
          <w:sz w:val="16"/>
          <w:szCs w:val="16"/>
        </w:rPr>
        <w:t>L’autenticazione della sottoscrizione apposta alla querela non ammette equipollenti allorquando essa sia recapitata da un incaricato o spedita per posta. V. Quadro essenziale</w:t>
      </w:r>
      <w:r w:rsidR="00B223F2">
        <w:rPr>
          <w:sz w:val="16"/>
          <w:szCs w:val="16"/>
        </w:rPr>
        <w:t>,</w:t>
      </w:r>
      <w:r w:rsidRPr="00CF0D14">
        <w:rPr>
          <w:i/>
          <w:iCs/>
          <w:sz w:val="16"/>
          <w:szCs w:val="16"/>
        </w:rPr>
        <w:t xml:space="preserve"> </w:t>
      </w:r>
      <w:r w:rsidRPr="00CF0D14">
        <w:rPr>
          <w:iCs/>
          <w:sz w:val="16"/>
          <w:szCs w:val="16"/>
        </w:rPr>
        <w:t xml:space="preserve">§ </w:t>
      </w:r>
      <w:r w:rsidRPr="00CF0D14">
        <w:rPr>
          <w:sz w:val="16"/>
          <w:szCs w:val="16"/>
        </w:rPr>
        <w:t xml:space="preserve">III, 4. </w:t>
      </w:r>
    </w:p>
    <w:p w:rsidR="00024F11" w:rsidRPr="00CF0D14" w:rsidRDefault="00024F11" w:rsidP="00024F11">
      <w:pPr>
        <w:widowControl w:val="0"/>
        <w:spacing w:line="185" w:lineRule="exact"/>
        <w:ind w:firstLine="284"/>
        <w:jc w:val="both"/>
        <w:rPr>
          <w:sz w:val="16"/>
          <w:szCs w:val="16"/>
        </w:rPr>
      </w:pPr>
      <w:r w:rsidRPr="00CF0D14">
        <w:rPr>
          <w:sz w:val="16"/>
          <w:szCs w:val="16"/>
        </w:rPr>
        <w:t>Non così laddove la querela sia proposta dal legale rappresentante di un ente pubblico (</w:t>
      </w:r>
      <w:proofErr w:type="spellStart"/>
      <w:proofErr w:type="gramStart"/>
      <w:r w:rsidRPr="00CF0D14">
        <w:rPr>
          <w:sz w:val="16"/>
          <w:szCs w:val="16"/>
        </w:rPr>
        <w:t>Cass</w:t>
      </w:r>
      <w:proofErr w:type="spellEnd"/>
      <w:r w:rsidRPr="00CF0D14">
        <w:rPr>
          <w:sz w:val="16"/>
          <w:szCs w:val="16"/>
        </w:rPr>
        <w:t>.,</w:t>
      </w:r>
      <w:proofErr w:type="gramEnd"/>
      <w:r w:rsidRPr="00CF0D14">
        <w:rPr>
          <w:sz w:val="16"/>
          <w:szCs w:val="16"/>
        </w:rPr>
        <w:t xml:space="preserve"> sez. VI, 26 luglio 1996, p.m. in c. Amadio, </w:t>
      </w:r>
      <w:r w:rsidRPr="00CF0D14">
        <w:rPr>
          <w:i/>
          <w:iCs/>
          <w:sz w:val="16"/>
          <w:szCs w:val="16"/>
        </w:rPr>
        <w:t xml:space="preserve">CED </w:t>
      </w:r>
      <w:proofErr w:type="spellStart"/>
      <w:r w:rsidRPr="00CF0D14">
        <w:rPr>
          <w:i/>
          <w:iCs/>
          <w:sz w:val="16"/>
          <w:szCs w:val="16"/>
        </w:rPr>
        <w:t>Cass</w:t>
      </w:r>
      <w:proofErr w:type="spellEnd"/>
      <w:r w:rsidRPr="00CF0D14">
        <w:rPr>
          <w:i/>
          <w:iCs/>
          <w:sz w:val="16"/>
          <w:szCs w:val="16"/>
        </w:rPr>
        <w:t>.</w:t>
      </w:r>
      <w:r w:rsidRPr="00CF0D14">
        <w:rPr>
          <w:iCs/>
          <w:sz w:val="16"/>
          <w:szCs w:val="16"/>
        </w:rPr>
        <w:t>,</w:t>
      </w:r>
      <w:r w:rsidRPr="00CF0D14">
        <w:rPr>
          <w:i/>
          <w:iCs/>
          <w:sz w:val="16"/>
          <w:szCs w:val="16"/>
        </w:rPr>
        <w:t xml:space="preserve"> </w:t>
      </w:r>
      <w:r w:rsidRPr="00CF0D14">
        <w:rPr>
          <w:sz w:val="16"/>
          <w:szCs w:val="16"/>
        </w:rPr>
        <w:t>205884). V. Quadro essenziale</w:t>
      </w:r>
      <w:r w:rsidR="00B223F2">
        <w:rPr>
          <w:sz w:val="16"/>
          <w:szCs w:val="16"/>
        </w:rPr>
        <w:t>,</w:t>
      </w:r>
      <w:r w:rsidRPr="00CF0D14">
        <w:rPr>
          <w:i/>
          <w:iCs/>
          <w:sz w:val="16"/>
          <w:szCs w:val="16"/>
        </w:rPr>
        <w:t xml:space="preserve"> </w:t>
      </w:r>
      <w:r w:rsidRPr="00CF0D14">
        <w:rPr>
          <w:iCs/>
          <w:sz w:val="16"/>
          <w:szCs w:val="16"/>
        </w:rPr>
        <w:t xml:space="preserve">§ </w:t>
      </w:r>
      <w:r w:rsidRPr="00CF0D14">
        <w:rPr>
          <w:sz w:val="16"/>
          <w:szCs w:val="16"/>
        </w:rPr>
        <w:t xml:space="preserve">III,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Pr="000170F5" w:rsidRDefault="00024F11" w:rsidP="000170F5">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Default="00024F1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BA" w:rsidRDefault="00BC50B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A04B09"/>
    <w:multiLevelType w:val="hybridMultilevel"/>
    <w:tmpl w:val="3D041FE6"/>
    <w:lvl w:ilvl="0" w:tplc="42BA26E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A04E84"/>
    <w:multiLevelType w:val="hybridMultilevel"/>
    <w:tmpl w:val="B1FA497A"/>
    <w:lvl w:ilvl="0" w:tplc="2F6A7A3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2CD5653"/>
    <w:multiLevelType w:val="hybridMultilevel"/>
    <w:tmpl w:val="E040B4FE"/>
    <w:lvl w:ilvl="0" w:tplc="55B465D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3733B0A"/>
    <w:multiLevelType w:val="hybridMultilevel"/>
    <w:tmpl w:val="88CEB9FC"/>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BA233DB"/>
    <w:multiLevelType w:val="hybridMultilevel"/>
    <w:tmpl w:val="B67C428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83A42C6"/>
    <w:multiLevelType w:val="hybridMultilevel"/>
    <w:tmpl w:val="00DA24D2"/>
    <w:lvl w:ilvl="0" w:tplc="B79C6DD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A55AD5"/>
    <w:multiLevelType w:val="hybridMultilevel"/>
    <w:tmpl w:val="BEA422D0"/>
    <w:lvl w:ilvl="0" w:tplc="F014E48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520242A"/>
    <w:multiLevelType w:val="hybridMultilevel"/>
    <w:tmpl w:val="5A3AF44A"/>
    <w:lvl w:ilvl="0" w:tplc="4522760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9">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7374556"/>
    <w:multiLevelType w:val="hybridMultilevel"/>
    <w:tmpl w:val="DADE040C"/>
    <w:lvl w:ilvl="0" w:tplc="2C6C8230">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75664B8"/>
    <w:multiLevelType w:val="hybridMultilevel"/>
    <w:tmpl w:val="5FE43284"/>
    <w:lvl w:ilvl="0" w:tplc="0410000F">
      <w:start w:val="2"/>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7B352D8"/>
    <w:multiLevelType w:val="hybridMultilevel"/>
    <w:tmpl w:val="046E5378"/>
    <w:lvl w:ilvl="0" w:tplc="7B26CEC0">
      <w:start w:val="1"/>
      <w:numFmt w:val="decimal"/>
      <w:lvlText w:val="%1."/>
      <w:lvlJc w:val="left"/>
      <w:pPr>
        <w:tabs>
          <w:tab w:val="num" w:pos="720"/>
        </w:tabs>
        <w:ind w:left="720" w:hanging="360"/>
      </w:pPr>
      <w:rPr>
        <w:b w:val="0"/>
        <w:bCs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36"/>
  </w:num>
  <w:num w:numId="4">
    <w:abstractNumId w:val="28"/>
  </w:num>
  <w:num w:numId="5">
    <w:abstractNumId w:val="12"/>
  </w:num>
  <w:num w:numId="6">
    <w:abstractNumId w:val="34"/>
  </w:num>
  <w:num w:numId="7">
    <w:abstractNumId w:val="29"/>
  </w:num>
  <w:num w:numId="8">
    <w:abstractNumId w:val="9"/>
  </w:num>
  <w:num w:numId="9">
    <w:abstractNumId w:val="13"/>
  </w:num>
  <w:num w:numId="10">
    <w:abstractNumId w:val="17"/>
  </w:num>
  <w:num w:numId="11">
    <w:abstractNumId w:val="5"/>
  </w:num>
  <w:num w:numId="12">
    <w:abstractNumId w:val="20"/>
  </w:num>
  <w:num w:numId="13">
    <w:abstractNumId w:val="22"/>
  </w:num>
  <w:num w:numId="14">
    <w:abstractNumId w:val="3"/>
  </w:num>
  <w:num w:numId="15">
    <w:abstractNumId w:val="35"/>
  </w:num>
  <w:num w:numId="16">
    <w:abstractNumId w:val="21"/>
  </w:num>
  <w:num w:numId="17">
    <w:abstractNumId w:val="25"/>
  </w:num>
  <w:num w:numId="18">
    <w:abstractNumId w:val="24"/>
  </w:num>
  <w:num w:numId="19">
    <w:abstractNumId w:val="0"/>
  </w:num>
  <w:num w:numId="20">
    <w:abstractNumId w:val="23"/>
  </w:num>
  <w:num w:numId="21">
    <w:abstractNumId w:val="15"/>
  </w:num>
  <w:num w:numId="22">
    <w:abstractNumId w:val="33"/>
  </w:num>
  <w:num w:numId="23">
    <w:abstractNumId w:val="14"/>
  </w:num>
  <w:num w:numId="24">
    <w:abstractNumId w:val="26"/>
  </w:num>
  <w:num w:numId="25">
    <w:abstractNumId w:val="27"/>
  </w:num>
  <w:num w:numId="26">
    <w:abstractNumId w:val="6"/>
  </w:num>
  <w:num w:numId="27">
    <w:abstractNumId w:val="4"/>
  </w:num>
  <w:num w:numId="28">
    <w:abstractNumId w:val="7"/>
  </w:num>
  <w:num w:numId="29">
    <w:abstractNumId w:val="18"/>
  </w:num>
  <w:num w:numId="30">
    <w:abstractNumId w:val="10"/>
  </w:num>
  <w:num w:numId="31">
    <w:abstractNumId w:val="8"/>
  </w:num>
  <w:num w:numId="32">
    <w:abstractNumId w:val="31"/>
  </w:num>
  <w:num w:numId="33">
    <w:abstractNumId w:val="1"/>
  </w:num>
  <w:num w:numId="34">
    <w:abstractNumId w:val="30"/>
  </w:num>
  <w:num w:numId="35">
    <w:abstractNumId w:val="16"/>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0B16"/>
    <w:rsid w:val="000170F5"/>
    <w:rsid w:val="00024F11"/>
    <w:rsid w:val="0002563C"/>
    <w:rsid w:val="00026173"/>
    <w:rsid w:val="0004427C"/>
    <w:rsid w:val="00052F04"/>
    <w:rsid w:val="000625B7"/>
    <w:rsid w:val="000A2C6B"/>
    <w:rsid w:val="000B3932"/>
    <w:rsid w:val="000C33AA"/>
    <w:rsid w:val="000C394F"/>
    <w:rsid w:val="000E375D"/>
    <w:rsid w:val="000F337A"/>
    <w:rsid w:val="00103859"/>
    <w:rsid w:val="001148B4"/>
    <w:rsid w:val="00115BF0"/>
    <w:rsid w:val="00116557"/>
    <w:rsid w:val="00125F7A"/>
    <w:rsid w:val="00136BD5"/>
    <w:rsid w:val="001571E4"/>
    <w:rsid w:val="00160F26"/>
    <w:rsid w:val="00182A74"/>
    <w:rsid w:val="00185D1E"/>
    <w:rsid w:val="0018745C"/>
    <w:rsid w:val="001A00F1"/>
    <w:rsid w:val="001B1D80"/>
    <w:rsid w:val="001B5EAC"/>
    <w:rsid w:val="001B7DB2"/>
    <w:rsid w:val="001E71F0"/>
    <w:rsid w:val="001F5F4C"/>
    <w:rsid w:val="001F7563"/>
    <w:rsid w:val="002012CC"/>
    <w:rsid w:val="0021303E"/>
    <w:rsid w:val="00216EE2"/>
    <w:rsid w:val="0023575D"/>
    <w:rsid w:val="00246703"/>
    <w:rsid w:val="00266FAE"/>
    <w:rsid w:val="00272F0D"/>
    <w:rsid w:val="00273236"/>
    <w:rsid w:val="002738C9"/>
    <w:rsid w:val="00277093"/>
    <w:rsid w:val="0029322A"/>
    <w:rsid w:val="002A36E9"/>
    <w:rsid w:val="002A43B7"/>
    <w:rsid w:val="002A5046"/>
    <w:rsid w:val="002A5519"/>
    <w:rsid w:val="002D25F8"/>
    <w:rsid w:val="002D7F74"/>
    <w:rsid w:val="002E7219"/>
    <w:rsid w:val="002F08F1"/>
    <w:rsid w:val="002F2CB9"/>
    <w:rsid w:val="002F46F9"/>
    <w:rsid w:val="00302D8E"/>
    <w:rsid w:val="003040CC"/>
    <w:rsid w:val="003178E8"/>
    <w:rsid w:val="003212AC"/>
    <w:rsid w:val="0032462A"/>
    <w:rsid w:val="00342404"/>
    <w:rsid w:val="00345A68"/>
    <w:rsid w:val="00353B9A"/>
    <w:rsid w:val="00355020"/>
    <w:rsid w:val="00356667"/>
    <w:rsid w:val="0037282E"/>
    <w:rsid w:val="00390B4B"/>
    <w:rsid w:val="003B69D6"/>
    <w:rsid w:val="003B6C64"/>
    <w:rsid w:val="003C70F2"/>
    <w:rsid w:val="003F21D1"/>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0240"/>
    <w:rsid w:val="004E7DC4"/>
    <w:rsid w:val="004F5617"/>
    <w:rsid w:val="005224AF"/>
    <w:rsid w:val="00532064"/>
    <w:rsid w:val="00534902"/>
    <w:rsid w:val="00541E69"/>
    <w:rsid w:val="00552742"/>
    <w:rsid w:val="00553119"/>
    <w:rsid w:val="0057045E"/>
    <w:rsid w:val="00570BE5"/>
    <w:rsid w:val="00576207"/>
    <w:rsid w:val="00580036"/>
    <w:rsid w:val="00583EA9"/>
    <w:rsid w:val="0058757A"/>
    <w:rsid w:val="00591956"/>
    <w:rsid w:val="00596E9F"/>
    <w:rsid w:val="00597B2C"/>
    <w:rsid w:val="005A03A9"/>
    <w:rsid w:val="005A1C70"/>
    <w:rsid w:val="005B7EA8"/>
    <w:rsid w:val="005E082B"/>
    <w:rsid w:val="005F0A89"/>
    <w:rsid w:val="005F3F41"/>
    <w:rsid w:val="005F7F44"/>
    <w:rsid w:val="006007E6"/>
    <w:rsid w:val="0060316E"/>
    <w:rsid w:val="00620DB6"/>
    <w:rsid w:val="00625790"/>
    <w:rsid w:val="006346C6"/>
    <w:rsid w:val="00636609"/>
    <w:rsid w:val="006534D4"/>
    <w:rsid w:val="006544E2"/>
    <w:rsid w:val="00654F45"/>
    <w:rsid w:val="00660598"/>
    <w:rsid w:val="006745BF"/>
    <w:rsid w:val="00675199"/>
    <w:rsid w:val="006844D6"/>
    <w:rsid w:val="0069030D"/>
    <w:rsid w:val="00692BF5"/>
    <w:rsid w:val="006A4DF4"/>
    <w:rsid w:val="006D1867"/>
    <w:rsid w:val="006D40EF"/>
    <w:rsid w:val="006E0166"/>
    <w:rsid w:val="006F03ED"/>
    <w:rsid w:val="006F2325"/>
    <w:rsid w:val="006F3548"/>
    <w:rsid w:val="00700F9E"/>
    <w:rsid w:val="00701CB7"/>
    <w:rsid w:val="0070298A"/>
    <w:rsid w:val="00726A6E"/>
    <w:rsid w:val="00730D8D"/>
    <w:rsid w:val="00730EC3"/>
    <w:rsid w:val="00746538"/>
    <w:rsid w:val="00746D6C"/>
    <w:rsid w:val="0074785F"/>
    <w:rsid w:val="007663CA"/>
    <w:rsid w:val="007664F6"/>
    <w:rsid w:val="00772792"/>
    <w:rsid w:val="00775613"/>
    <w:rsid w:val="00775C97"/>
    <w:rsid w:val="0078066F"/>
    <w:rsid w:val="007812B6"/>
    <w:rsid w:val="007943D2"/>
    <w:rsid w:val="007A01F7"/>
    <w:rsid w:val="007A6513"/>
    <w:rsid w:val="007B4551"/>
    <w:rsid w:val="007C1D50"/>
    <w:rsid w:val="007C5D21"/>
    <w:rsid w:val="007E2132"/>
    <w:rsid w:val="007E38D9"/>
    <w:rsid w:val="007E4984"/>
    <w:rsid w:val="007E79B6"/>
    <w:rsid w:val="0082617E"/>
    <w:rsid w:val="00833DD3"/>
    <w:rsid w:val="008416A1"/>
    <w:rsid w:val="008445AE"/>
    <w:rsid w:val="00862974"/>
    <w:rsid w:val="008701D7"/>
    <w:rsid w:val="00881C16"/>
    <w:rsid w:val="00882AB0"/>
    <w:rsid w:val="008849FF"/>
    <w:rsid w:val="00893CA6"/>
    <w:rsid w:val="00894761"/>
    <w:rsid w:val="00896B0F"/>
    <w:rsid w:val="00897D9E"/>
    <w:rsid w:val="008B189F"/>
    <w:rsid w:val="008D541A"/>
    <w:rsid w:val="008D6DA2"/>
    <w:rsid w:val="008F0D74"/>
    <w:rsid w:val="008F1ACA"/>
    <w:rsid w:val="008F3CC7"/>
    <w:rsid w:val="008F6DF4"/>
    <w:rsid w:val="0091400B"/>
    <w:rsid w:val="00921774"/>
    <w:rsid w:val="0093177E"/>
    <w:rsid w:val="009632C5"/>
    <w:rsid w:val="00966FF8"/>
    <w:rsid w:val="00967B22"/>
    <w:rsid w:val="00972A19"/>
    <w:rsid w:val="00973015"/>
    <w:rsid w:val="009812CE"/>
    <w:rsid w:val="009840A3"/>
    <w:rsid w:val="009B598D"/>
    <w:rsid w:val="009C77D1"/>
    <w:rsid w:val="009E1E4A"/>
    <w:rsid w:val="009E543D"/>
    <w:rsid w:val="009F3841"/>
    <w:rsid w:val="00A0343C"/>
    <w:rsid w:val="00A2118C"/>
    <w:rsid w:val="00A22655"/>
    <w:rsid w:val="00A6074F"/>
    <w:rsid w:val="00A706EC"/>
    <w:rsid w:val="00AB03D6"/>
    <w:rsid w:val="00AB73DB"/>
    <w:rsid w:val="00AC7BCC"/>
    <w:rsid w:val="00AE1D83"/>
    <w:rsid w:val="00AF30EA"/>
    <w:rsid w:val="00B16B93"/>
    <w:rsid w:val="00B223F2"/>
    <w:rsid w:val="00B32178"/>
    <w:rsid w:val="00B3445A"/>
    <w:rsid w:val="00B412E6"/>
    <w:rsid w:val="00B44764"/>
    <w:rsid w:val="00B542A1"/>
    <w:rsid w:val="00B70EC1"/>
    <w:rsid w:val="00B76514"/>
    <w:rsid w:val="00BC50BA"/>
    <w:rsid w:val="00BC75D6"/>
    <w:rsid w:val="00BF4AF7"/>
    <w:rsid w:val="00C01A4F"/>
    <w:rsid w:val="00C03C67"/>
    <w:rsid w:val="00C12C42"/>
    <w:rsid w:val="00C137EB"/>
    <w:rsid w:val="00C161E1"/>
    <w:rsid w:val="00C2203B"/>
    <w:rsid w:val="00C253B0"/>
    <w:rsid w:val="00C274BF"/>
    <w:rsid w:val="00C3392E"/>
    <w:rsid w:val="00C339DF"/>
    <w:rsid w:val="00C448E8"/>
    <w:rsid w:val="00C6004F"/>
    <w:rsid w:val="00C678AA"/>
    <w:rsid w:val="00C74914"/>
    <w:rsid w:val="00C75B2B"/>
    <w:rsid w:val="00C7738D"/>
    <w:rsid w:val="00C83170"/>
    <w:rsid w:val="00C870CC"/>
    <w:rsid w:val="00C94508"/>
    <w:rsid w:val="00CA1586"/>
    <w:rsid w:val="00CA4CC9"/>
    <w:rsid w:val="00CA65CC"/>
    <w:rsid w:val="00CA6C63"/>
    <w:rsid w:val="00CB0897"/>
    <w:rsid w:val="00CB331B"/>
    <w:rsid w:val="00CC015F"/>
    <w:rsid w:val="00CD45AF"/>
    <w:rsid w:val="00CD5C2B"/>
    <w:rsid w:val="00CE28C8"/>
    <w:rsid w:val="00CF0D14"/>
    <w:rsid w:val="00D00F00"/>
    <w:rsid w:val="00D0114D"/>
    <w:rsid w:val="00D012CB"/>
    <w:rsid w:val="00D1310D"/>
    <w:rsid w:val="00D23336"/>
    <w:rsid w:val="00D2352E"/>
    <w:rsid w:val="00D252B9"/>
    <w:rsid w:val="00D2707F"/>
    <w:rsid w:val="00D32991"/>
    <w:rsid w:val="00D46EDF"/>
    <w:rsid w:val="00D52400"/>
    <w:rsid w:val="00D7166A"/>
    <w:rsid w:val="00D76037"/>
    <w:rsid w:val="00D9164F"/>
    <w:rsid w:val="00D92404"/>
    <w:rsid w:val="00DA69B8"/>
    <w:rsid w:val="00DA713B"/>
    <w:rsid w:val="00DC53D8"/>
    <w:rsid w:val="00DD44AA"/>
    <w:rsid w:val="00DE2519"/>
    <w:rsid w:val="00E02035"/>
    <w:rsid w:val="00E0277F"/>
    <w:rsid w:val="00E11D61"/>
    <w:rsid w:val="00E14D6A"/>
    <w:rsid w:val="00E22556"/>
    <w:rsid w:val="00E35391"/>
    <w:rsid w:val="00E417A0"/>
    <w:rsid w:val="00E53389"/>
    <w:rsid w:val="00E6162E"/>
    <w:rsid w:val="00E91C2E"/>
    <w:rsid w:val="00E9363C"/>
    <w:rsid w:val="00E96E43"/>
    <w:rsid w:val="00EA3249"/>
    <w:rsid w:val="00EA3B7B"/>
    <w:rsid w:val="00EA53E0"/>
    <w:rsid w:val="00EB1096"/>
    <w:rsid w:val="00EB3B03"/>
    <w:rsid w:val="00EC175C"/>
    <w:rsid w:val="00EC45CD"/>
    <w:rsid w:val="00ED297D"/>
    <w:rsid w:val="00EE12BE"/>
    <w:rsid w:val="00EE5575"/>
    <w:rsid w:val="00F139CC"/>
    <w:rsid w:val="00F16540"/>
    <w:rsid w:val="00F21CE2"/>
    <w:rsid w:val="00F34B50"/>
    <w:rsid w:val="00F358E8"/>
    <w:rsid w:val="00F3742D"/>
    <w:rsid w:val="00F47E4C"/>
    <w:rsid w:val="00F52E18"/>
    <w:rsid w:val="00F55B4C"/>
    <w:rsid w:val="00F62B18"/>
    <w:rsid w:val="00F649C3"/>
    <w:rsid w:val="00F73A92"/>
    <w:rsid w:val="00F73B75"/>
    <w:rsid w:val="00F75D2F"/>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9D81D1-5DD4-4E25-999C-874DAD1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8445AE"/>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8445AE"/>
    <w:rPr>
      <w:i/>
      <w:iCs/>
    </w:rPr>
  </w:style>
  <w:style w:type="paragraph" w:customStyle="1" w:styleId="Capoversoarticoli">
    <w:name w:val="Capoverso articoli"/>
    <w:rsid w:val="008445AE"/>
    <w:pPr>
      <w:widowControl w:val="0"/>
      <w:spacing w:line="180" w:lineRule="exact"/>
      <w:ind w:firstLine="170"/>
      <w:jc w:val="both"/>
    </w:pPr>
    <w:rPr>
      <w:rFonts w:ascii="Futura Bk BT" w:hAnsi="Futura Bk BT"/>
      <w:sz w:val="16"/>
      <w:szCs w:val="17"/>
    </w:rPr>
  </w:style>
  <w:style w:type="character" w:customStyle="1" w:styleId="TestonotaapidipaginaCarattere">
    <w:name w:val="Testo nota a piè di pagina Carattere"/>
    <w:link w:val="Testonotaapidipagina"/>
    <w:semiHidden/>
    <w:rsid w:val="008445AE"/>
  </w:style>
  <w:style w:type="paragraph" w:customStyle="1" w:styleId="Note">
    <w:name w:val="Note"/>
    <w:rsid w:val="008445AE"/>
    <w:pPr>
      <w:spacing w:before="80" w:line="170" w:lineRule="exact"/>
      <w:ind w:left="227"/>
      <w:jc w:val="both"/>
    </w:pPr>
    <w:rPr>
      <w:i/>
      <w:sz w:val="15"/>
      <w:szCs w:val="15"/>
    </w:rPr>
  </w:style>
  <w:style w:type="paragraph" w:customStyle="1" w:styleId="Dicituratitolo0">
    <w:name w:val="Dicitura titolo"/>
    <w:rsid w:val="008445AE"/>
    <w:pPr>
      <w:tabs>
        <w:tab w:val="left" w:pos="310"/>
      </w:tabs>
      <w:spacing w:before="254" w:after="86" w:line="190" w:lineRule="exact"/>
      <w:jc w:val="center"/>
    </w:pPr>
    <w:rPr>
      <w:caps/>
      <w:sz w:val="18"/>
      <w:szCs w:val="18"/>
    </w:rPr>
  </w:style>
  <w:style w:type="paragraph" w:customStyle="1" w:styleId="Titolodeltitolo0">
    <w:name w:val="Titolo del titolo"/>
    <w:rsid w:val="008445AE"/>
    <w:pPr>
      <w:tabs>
        <w:tab w:val="left" w:pos="310"/>
      </w:tabs>
      <w:spacing w:after="254" w:line="190" w:lineRule="exact"/>
      <w:jc w:val="center"/>
    </w:pPr>
    <w:rPr>
      <w:b/>
      <w:sz w:val="18"/>
      <w:szCs w:val="18"/>
    </w:rPr>
  </w:style>
  <w:style w:type="character" w:customStyle="1" w:styleId="CarattereCarattere">
    <w:name w:val="Carattere Carattere"/>
    <w:semiHidden/>
    <w:rsid w:val="008445AE"/>
    <w:rPr>
      <w:rFonts w:ascii="Calibri" w:eastAsia="Calibri" w:hAnsi="Calibri"/>
      <w:lang w:val="it-IT" w:eastAsia="en-US" w:bidi="ar-SA"/>
    </w:rPr>
  </w:style>
  <w:style w:type="paragraph" w:styleId="Corpodeltesto2">
    <w:name w:val="Body Text 2"/>
    <w:basedOn w:val="Normale"/>
    <w:link w:val="Corpodeltesto2Carattere"/>
    <w:rsid w:val="008445AE"/>
    <w:rPr>
      <w:sz w:val="24"/>
    </w:rPr>
  </w:style>
  <w:style w:type="character" w:customStyle="1" w:styleId="Corpodeltesto2Carattere">
    <w:name w:val="Corpo del testo 2 Carattere"/>
    <w:link w:val="Corpodeltesto2"/>
    <w:rsid w:val="008445AE"/>
    <w:rPr>
      <w:sz w:val="24"/>
    </w:rPr>
  </w:style>
  <w:style w:type="paragraph" w:styleId="Corpodeltesto3">
    <w:name w:val="Body Text 3"/>
    <w:basedOn w:val="Normale"/>
    <w:link w:val="Corpodeltesto3Carattere"/>
    <w:rsid w:val="008445AE"/>
    <w:pPr>
      <w:jc w:val="both"/>
    </w:pPr>
    <w:rPr>
      <w:sz w:val="24"/>
    </w:rPr>
  </w:style>
  <w:style w:type="character" w:customStyle="1" w:styleId="Corpodeltesto3Carattere">
    <w:name w:val="Corpo del testo 3 Carattere"/>
    <w:link w:val="Corpodeltesto3"/>
    <w:rsid w:val="008445AE"/>
    <w:rPr>
      <w:sz w:val="24"/>
    </w:rPr>
  </w:style>
  <w:style w:type="paragraph" w:styleId="NormaleWeb">
    <w:name w:val="Normal (Web)"/>
    <w:basedOn w:val="Normale"/>
    <w:rsid w:val="008445AE"/>
    <w:pPr>
      <w:spacing w:before="100" w:beforeAutospacing="1" w:after="100" w:afterAutospacing="1"/>
    </w:pPr>
    <w:rPr>
      <w:sz w:val="24"/>
      <w:szCs w:val="24"/>
    </w:rPr>
  </w:style>
  <w:style w:type="character" w:styleId="Enfasicorsivo">
    <w:name w:val="Emphasis"/>
    <w:qFormat/>
    <w:rsid w:val="008445AE"/>
    <w:rPr>
      <w:i/>
      <w:iCs/>
    </w:rPr>
  </w:style>
  <w:style w:type="character" w:styleId="Collegamentoipertestuale">
    <w:name w:val="Hyperlink"/>
    <w:rsid w:val="008445AE"/>
    <w:rPr>
      <w:color w:val="0000FF"/>
      <w:u w:val="single"/>
    </w:rPr>
  </w:style>
  <w:style w:type="paragraph" w:styleId="Rientrocorpodeltesto">
    <w:name w:val="Body Text Indent"/>
    <w:basedOn w:val="Normale"/>
    <w:link w:val="RientrocorpodeltestoCarattere"/>
    <w:rsid w:val="008445AE"/>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8445AE"/>
    <w:rPr>
      <w:rFonts w:ascii="New York" w:hAnsi="New York"/>
      <w:sz w:val="24"/>
    </w:rPr>
  </w:style>
  <w:style w:type="paragraph" w:customStyle="1" w:styleId="tx">
    <w:name w:val="tx"/>
    <w:basedOn w:val="Normale"/>
    <w:rsid w:val="008445AE"/>
    <w:pPr>
      <w:spacing w:before="20" w:after="20"/>
    </w:pPr>
  </w:style>
  <w:style w:type="character" w:customStyle="1" w:styleId="risultato">
    <w:name w:val="risultato"/>
    <w:basedOn w:val="Carpredefinitoparagrafo"/>
    <w:rsid w:val="008445AE"/>
  </w:style>
  <w:style w:type="character" w:customStyle="1" w:styleId="IntestazioneCarattere">
    <w:name w:val="Intestazione Carattere"/>
    <w:link w:val="Intestazione"/>
    <w:uiPriority w:val="99"/>
    <w:rsid w:val="005A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BFA92-E1D2-42DE-B8A4-7CE799D8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231</Words>
  <Characters>1322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53</cp:revision>
  <cp:lastPrinted>2015-07-29T12:46:00Z</cp:lastPrinted>
  <dcterms:created xsi:type="dcterms:W3CDTF">2015-08-27T09:13:00Z</dcterms:created>
  <dcterms:modified xsi:type="dcterms:W3CDTF">2016-06-01T09:44:00Z</dcterms:modified>
</cp:coreProperties>
</file>