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38" w:rsidRPr="0010651F" w:rsidRDefault="00BA1E38" w:rsidP="000D7E34">
      <w:pPr>
        <w:pStyle w:val="CapoversoAtti"/>
        <w:spacing w:line="240" w:lineRule="auto"/>
        <w:rPr>
          <w:sz w:val="2"/>
          <w:szCs w:val="2"/>
          <w:lang w:eastAsia="ar-SA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D289A" w:rsidRPr="0010651F" w:rsidTr="00AE7A7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D289A" w:rsidRPr="0010651F" w:rsidRDefault="00FD289A" w:rsidP="00860FEA">
            <w:pPr>
              <w:pStyle w:val="DicituraAtto"/>
            </w:pPr>
            <w:r w:rsidRPr="0010651F">
              <w:t>2</w:t>
            </w:r>
            <w:r w:rsidR="000D7E34" w:rsidRPr="0010651F">
              <w:t>6</w:t>
            </w:r>
            <w:r w:rsidR="00860FEA" w:rsidRPr="0010651F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FD289A" w:rsidRPr="0010651F" w:rsidRDefault="00FD289A" w:rsidP="00AE7A7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289A" w:rsidRPr="0010651F" w:rsidTr="00AE7A7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D289A" w:rsidRPr="0010651F" w:rsidRDefault="00FD289A" w:rsidP="00AE7A7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D289A" w:rsidRPr="0010651F" w:rsidRDefault="00FD289A" w:rsidP="00AE7A76">
            <w:pPr>
              <w:pStyle w:val="TitoloAtto"/>
              <w:widowControl w:val="0"/>
              <w:spacing w:after="0"/>
            </w:pPr>
            <w:r w:rsidRPr="0010651F">
              <w:t>Richiesta di proscioglimento prima del dibattimento “per particolare tenuità del fatto”</w:t>
            </w:r>
          </w:p>
        </w:tc>
      </w:tr>
    </w:tbl>
    <w:p w:rsidR="00FD289A" w:rsidRPr="0010651F" w:rsidRDefault="00FD289A" w:rsidP="00AE7A76">
      <w:pPr>
        <w:pStyle w:val="CapoversoAtti"/>
        <w:rPr>
          <w:lang w:eastAsia="ar-SA"/>
        </w:rPr>
      </w:pPr>
    </w:p>
    <w:p w:rsidR="00FD289A" w:rsidRPr="0010651F" w:rsidRDefault="00FD289A" w:rsidP="00AE7A76">
      <w:pPr>
        <w:pStyle w:val="CapoversoAtti"/>
        <w:rPr>
          <w:lang w:eastAsia="ar-SA"/>
        </w:rPr>
      </w:pPr>
    </w:p>
    <w:p w:rsidR="00C14B20" w:rsidRPr="0010651F" w:rsidRDefault="00E4378D" w:rsidP="00AE7A76">
      <w:pPr>
        <w:pStyle w:val="CapoversoAtti"/>
        <w:jc w:val="center"/>
        <w:rPr>
          <w:snapToGrid w:val="0"/>
          <w:color w:val="000000"/>
          <w:u w:color="000000"/>
        </w:rPr>
      </w:pPr>
      <w:r w:rsidRPr="0010651F">
        <w:t>Tribunale</w:t>
      </w:r>
      <w:r w:rsidR="00BA1E38" w:rsidRPr="0010651F">
        <w:t xml:space="preserve"> di … … …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r w:rsidRPr="0010651F">
        <w:t xml:space="preserve">Il sottoscritto Avv. … … … </w:t>
      </w:r>
      <w:r w:rsidRPr="0010651F">
        <w:rPr>
          <w:spacing w:val="-4"/>
        </w:rPr>
        <w:t>(nome e cognome),</w:t>
      </w:r>
      <w:r w:rsidRPr="0010651F">
        <w:t xml:space="preserve"> difensore di … … … (nome e cognome), imputato nel procedimento penale n. … … …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  <w:jc w:val="center"/>
        <w:rPr>
          <w:i/>
          <w:iCs/>
        </w:rPr>
      </w:pPr>
      <w:proofErr w:type="gramStart"/>
      <w:r w:rsidRPr="0010651F">
        <w:rPr>
          <w:i/>
          <w:iCs/>
        </w:rPr>
        <w:t>premesso</w:t>
      </w:r>
      <w:proofErr w:type="gramEnd"/>
    </w:p>
    <w:p w:rsidR="00FD289A" w:rsidRPr="0010651F" w:rsidRDefault="00FD289A" w:rsidP="00AE7A76">
      <w:pPr>
        <w:pStyle w:val="CapoversoAtti"/>
        <w:jc w:val="center"/>
        <w:rPr>
          <w:i/>
        </w:rPr>
      </w:pPr>
    </w:p>
    <w:p w:rsidR="00C14B20" w:rsidRPr="0010651F" w:rsidRDefault="00BA1E38" w:rsidP="00AE7A76">
      <w:pPr>
        <w:pStyle w:val="CapoversoAtti"/>
      </w:pPr>
      <w:proofErr w:type="gramStart"/>
      <w:r w:rsidRPr="0010651F">
        <w:t>che</w:t>
      </w:r>
      <w:proofErr w:type="gramEnd"/>
      <w:r w:rsidRPr="0010651F">
        <w:t xml:space="preserve"> nel merito il fatto per il quale si procede può considerarsi di particolare tenuità, perché possiede i requisiti di cui all</w:t>
      </w:r>
      <w:r w:rsidR="00C14B20" w:rsidRPr="0010651F">
        <w:t>’</w:t>
      </w:r>
      <w:r w:rsidRPr="0010651F">
        <w:t>art. 131</w:t>
      </w:r>
      <w:r w:rsidR="00E4378D" w:rsidRPr="0010651F">
        <w:rPr>
          <w:i/>
        </w:rPr>
        <w:t>-</w:t>
      </w:r>
      <w:r w:rsidR="00E4378D" w:rsidRPr="0010651F">
        <w:rPr>
          <w:i/>
          <w:iCs/>
        </w:rPr>
        <w:t>bis</w:t>
      </w:r>
      <w:r w:rsidR="00E4378D" w:rsidRPr="0010651F">
        <w:rPr>
          <w:i/>
        </w:rPr>
        <w:t xml:space="preserve"> </w:t>
      </w:r>
      <w:r w:rsidRPr="0010651F">
        <w:t>c.p.</w:t>
      </w:r>
      <w:r w:rsidRPr="0010651F">
        <w:rPr>
          <w:rFonts w:hint="eastAsia"/>
        </w:rPr>
        <w:t xml:space="preserve"> essendo…</w:t>
      </w:r>
      <w:r w:rsidRPr="0010651F">
        <w:t xml:space="preserve"> </w:t>
      </w:r>
      <w:r w:rsidRPr="0010651F">
        <w:rPr>
          <w:rFonts w:hint="eastAsia"/>
        </w:rPr>
        <w:t>…</w:t>
      </w:r>
      <w:r w:rsidR="000D7E34" w:rsidRPr="0010651F">
        <w:rPr>
          <w:vertAlign w:val="superscript"/>
        </w:rPr>
        <w:t> </w:t>
      </w:r>
      <w:r w:rsidRPr="0010651F">
        <w:rPr>
          <w:vertAlign w:val="superscript"/>
        </w:rPr>
        <w:footnoteReference w:id="1"/>
      </w:r>
      <w:r w:rsidRPr="0010651F">
        <w:t>;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  <w:rPr>
          <w:spacing w:val="2"/>
        </w:rPr>
      </w:pPr>
      <w:proofErr w:type="gramStart"/>
      <w:r w:rsidRPr="0010651F">
        <w:rPr>
          <w:spacing w:val="2"/>
        </w:rPr>
        <w:t>che</w:t>
      </w:r>
      <w:proofErr w:type="gramEnd"/>
      <w:r w:rsidRPr="0010651F">
        <w:rPr>
          <w:spacing w:val="2"/>
        </w:rPr>
        <w:t>, inoltre, sussistono tutti i parametri formali previsti dall</w:t>
      </w:r>
      <w:r w:rsidR="00C14B20" w:rsidRPr="0010651F">
        <w:rPr>
          <w:rFonts w:hint="eastAsia"/>
          <w:spacing w:val="2"/>
        </w:rPr>
        <w:t>’</w:t>
      </w:r>
      <w:r w:rsidRPr="0010651F">
        <w:rPr>
          <w:spacing w:val="2"/>
        </w:rPr>
        <w:t>art. 131</w:t>
      </w:r>
      <w:r w:rsidR="00E4378D" w:rsidRPr="0010651F">
        <w:rPr>
          <w:i/>
          <w:spacing w:val="2"/>
        </w:rPr>
        <w:t xml:space="preserve">-bis </w:t>
      </w:r>
      <w:r w:rsidRPr="0010651F">
        <w:rPr>
          <w:spacing w:val="2"/>
        </w:rPr>
        <w:t>c.p. ossia</w:t>
      </w:r>
      <w:r w:rsidRPr="0010651F">
        <w:rPr>
          <w:rFonts w:hint="eastAsia"/>
          <w:spacing w:val="2"/>
        </w:rPr>
        <w:t xml:space="preserve"> il limite </w:t>
      </w:r>
      <w:r w:rsidRPr="0010651F">
        <w:rPr>
          <w:spacing w:val="2"/>
        </w:rPr>
        <w:t xml:space="preserve">edittale </w:t>
      </w:r>
      <w:r w:rsidRPr="0010651F">
        <w:rPr>
          <w:rFonts w:hint="eastAsia"/>
          <w:spacing w:val="2"/>
        </w:rPr>
        <w:t>di pena</w:t>
      </w:r>
      <w:r w:rsidRPr="0010651F">
        <w:rPr>
          <w:spacing w:val="2"/>
        </w:rPr>
        <w:t xml:space="preserve"> che nella fattispecie non supera </w:t>
      </w:r>
      <w:r w:rsidRPr="0010651F">
        <w:rPr>
          <w:rFonts w:hint="eastAsia"/>
          <w:spacing w:val="2"/>
        </w:rPr>
        <w:t>…</w:t>
      </w:r>
      <w:r w:rsidRPr="0010651F">
        <w:rPr>
          <w:spacing w:val="2"/>
        </w:rPr>
        <w:t xml:space="preserve"> </w:t>
      </w:r>
      <w:r w:rsidRPr="0010651F">
        <w:rPr>
          <w:rFonts w:hint="eastAsia"/>
          <w:spacing w:val="2"/>
        </w:rPr>
        <w:t>…</w:t>
      </w:r>
      <w:r w:rsidRPr="0010651F">
        <w:rPr>
          <w:spacing w:val="2"/>
        </w:rPr>
        <w:t xml:space="preserve"> </w:t>
      </w:r>
      <w:r w:rsidRPr="0010651F">
        <w:rPr>
          <w:rFonts w:hint="eastAsia"/>
          <w:spacing w:val="2"/>
        </w:rPr>
        <w:t>…</w:t>
      </w:r>
      <w:r w:rsidR="000D7E34" w:rsidRPr="0010651F">
        <w:rPr>
          <w:spacing w:val="2"/>
          <w:vertAlign w:val="superscript"/>
        </w:rPr>
        <w:t> </w:t>
      </w:r>
      <w:r w:rsidRPr="0010651F">
        <w:rPr>
          <w:spacing w:val="2"/>
          <w:vertAlign w:val="superscript"/>
        </w:rPr>
        <w:footnoteReference w:id="2"/>
      </w:r>
      <w:r w:rsidRPr="0010651F">
        <w:rPr>
          <w:spacing w:val="2"/>
        </w:rPr>
        <w:t>;</w:t>
      </w:r>
      <w:r w:rsidRPr="0010651F">
        <w:rPr>
          <w:rFonts w:hint="eastAsia"/>
          <w:spacing w:val="2"/>
        </w:rPr>
        <w:t xml:space="preserve"> la non abitualità della condotta</w:t>
      </w:r>
      <w:r w:rsidRPr="0010651F">
        <w:rPr>
          <w:spacing w:val="2"/>
        </w:rPr>
        <w:t>, come si evince dal certificato del casellario giudiziario in atti</w:t>
      </w:r>
      <w:r w:rsidRPr="0010651F">
        <w:rPr>
          <w:rFonts w:hint="eastAsia"/>
          <w:spacing w:val="2"/>
        </w:rPr>
        <w:t>…</w:t>
      </w:r>
      <w:r w:rsidRPr="0010651F">
        <w:rPr>
          <w:spacing w:val="2"/>
        </w:rPr>
        <w:t xml:space="preserve"> </w:t>
      </w:r>
      <w:r w:rsidRPr="0010651F">
        <w:rPr>
          <w:rFonts w:hint="eastAsia"/>
          <w:spacing w:val="2"/>
        </w:rPr>
        <w:t>…</w:t>
      </w:r>
      <w:r w:rsidRPr="0010651F">
        <w:rPr>
          <w:spacing w:val="2"/>
        </w:rPr>
        <w:t xml:space="preserve"> </w:t>
      </w:r>
      <w:r w:rsidRPr="0010651F">
        <w:rPr>
          <w:rFonts w:hint="eastAsia"/>
          <w:spacing w:val="2"/>
        </w:rPr>
        <w:t>…</w:t>
      </w:r>
      <w:r w:rsidR="000D7E34" w:rsidRPr="0010651F">
        <w:rPr>
          <w:spacing w:val="2"/>
          <w:vertAlign w:val="superscript"/>
        </w:rPr>
        <w:t> </w:t>
      </w:r>
      <w:r w:rsidRPr="0010651F">
        <w:rPr>
          <w:spacing w:val="2"/>
          <w:vertAlign w:val="superscript"/>
        </w:rPr>
        <w:footnoteReference w:id="3"/>
      </w:r>
      <w:r w:rsidRPr="0010651F">
        <w:rPr>
          <w:spacing w:val="2"/>
        </w:rPr>
        <w:t>.</w:t>
      </w:r>
    </w:p>
    <w:p w:rsidR="00BA1E38" w:rsidRPr="0010651F" w:rsidRDefault="00BA1E38" w:rsidP="00AE7A76">
      <w:pPr>
        <w:pStyle w:val="CapoversoAtti"/>
        <w:jc w:val="center"/>
        <w:rPr>
          <w:i/>
          <w:iCs/>
        </w:rPr>
      </w:pPr>
      <w:proofErr w:type="gramStart"/>
      <w:r w:rsidRPr="0010651F">
        <w:rPr>
          <w:i/>
          <w:iCs/>
        </w:rPr>
        <w:t>chiede</w:t>
      </w:r>
      <w:proofErr w:type="gramEnd"/>
    </w:p>
    <w:p w:rsidR="00FD289A" w:rsidRPr="0010651F" w:rsidRDefault="00FD289A" w:rsidP="00AE7A76">
      <w:pPr>
        <w:pStyle w:val="CapoversoAtti"/>
        <w:jc w:val="center"/>
        <w:rPr>
          <w:i/>
        </w:rPr>
      </w:pPr>
    </w:p>
    <w:p w:rsidR="00BA1E38" w:rsidRPr="0010651F" w:rsidRDefault="00BA1E38" w:rsidP="00AE7A76">
      <w:pPr>
        <w:pStyle w:val="CapoversoAtti"/>
      </w:pPr>
      <w:proofErr w:type="gramStart"/>
      <w:r w:rsidRPr="0010651F">
        <w:t>ai</w:t>
      </w:r>
      <w:proofErr w:type="gramEnd"/>
      <w:r w:rsidRPr="0010651F">
        <w:t xml:space="preserve"> sensi dell</w:t>
      </w:r>
      <w:r w:rsidR="00C14B20" w:rsidRPr="0010651F">
        <w:t>’</w:t>
      </w:r>
      <w:r w:rsidRPr="0010651F">
        <w:t>art. 469, comma 1</w:t>
      </w:r>
      <w:r w:rsidR="00E4378D" w:rsidRPr="0010651F">
        <w:rPr>
          <w:i/>
        </w:rPr>
        <w:t>-</w:t>
      </w:r>
      <w:r w:rsidR="00E4378D" w:rsidRPr="0010651F">
        <w:rPr>
          <w:i/>
          <w:iCs/>
        </w:rPr>
        <w:t>bis</w:t>
      </w:r>
      <w:r w:rsidR="00E4378D" w:rsidRPr="0010651F">
        <w:t>,</w:t>
      </w:r>
      <w:r w:rsidRPr="0010651F">
        <w:t xml:space="preserve"> c.p.p., che venga emessa sentenza predibattimentale di non doversi procedere nei confronti di … … (nome e cognome del</w:t>
      </w:r>
      <w:r w:rsidR="000D7E34" w:rsidRPr="0010651F">
        <w:softHyphen/>
      </w:r>
      <w:r w:rsidRPr="0010651F">
        <w:t>l</w:t>
      </w:r>
      <w:r w:rsidR="00C14B20" w:rsidRPr="0010651F">
        <w:t>’</w:t>
      </w:r>
      <w:r w:rsidRPr="0010651F">
        <w:t xml:space="preserve">imputato), in ordine al reato ascrittogli, in quanto non è punibile </w:t>
      </w:r>
      <w:r w:rsidRPr="0010651F">
        <w:rPr>
          <w:i/>
          <w:iCs/>
        </w:rPr>
        <w:t>ex</w:t>
      </w:r>
      <w:r w:rsidRPr="0010651F">
        <w:t xml:space="preserve"> art. 131</w:t>
      </w:r>
      <w:r w:rsidR="00E4378D" w:rsidRPr="0010651F">
        <w:rPr>
          <w:i/>
        </w:rPr>
        <w:t xml:space="preserve">-bis </w:t>
      </w:r>
      <w:r w:rsidRPr="0010651F">
        <w:t>c.p., sicché appare non necessario procedere alla fase dibattimentale.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  <w:jc w:val="left"/>
      </w:pPr>
      <w:r w:rsidRPr="0010651F">
        <w:t>Luogo e data</w:t>
      </w:r>
    </w:p>
    <w:p w:rsidR="00BA1E38" w:rsidRPr="006B29E7" w:rsidRDefault="00BA1E38" w:rsidP="00AE7A76">
      <w:pPr>
        <w:pStyle w:val="CapoversoAtti"/>
        <w:jc w:val="right"/>
      </w:pPr>
      <w:r w:rsidRPr="0010651F">
        <w:t>Sottoscrizione del difensore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992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47" w:rsidRDefault="008C5F47">
      <w:r>
        <w:separator/>
      </w:r>
    </w:p>
    <w:p w:rsidR="008C5F47" w:rsidRDefault="008C5F47"/>
    <w:p w:rsidR="008C5F47" w:rsidRDefault="008C5F47"/>
    <w:p w:rsidR="008C5F47" w:rsidRDefault="008C5F47"/>
  </w:endnote>
  <w:endnote w:type="continuationSeparator" w:id="0">
    <w:p w:rsidR="008C5F47" w:rsidRDefault="008C5F47">
      <w:r>
        <w:continuationSeparator/>
      </w:r>
    </w:p>
    <w:p w:rsidR="008C5F47" w:rsidRDefault="008C5F47"/>
    <w:p w:rsidR="008C5F47" w:rsidRDefault="008C5F47"/>
    <w:p w:rsidR="008C5F47" w:rsidRDefault="008C5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8B4" w:rsidRDefault="004A08B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8B4" w:rsidRDefault="004A08B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8B4" w:rsidRDefault="004A08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id="1">
    <w:p w:rsidR="00AE7A76" w:rsidRPr="000D7E34" w:rsidRDefault="00AE7A76" w:rsidP="00FD289A">
      <w:pPr>
        <w:pStyle w:val="Notaapipagina"/>
      </w:pPr>
      <w:r w:rsidRPr="000D7E34">
        <w:rPr>
          <w:rStyle w:val="Rimandonotaapidipagina"/>
        </w:rPr>
        <w:footnoteRef/>
      </w:r>
      <w:r w:rsidRPr="000D7E34">
        <w:t xml:space="preserve"> Precisare le ragioni che giustificano la tenuità dell</w:t>
      </w:r>
      <w:r w:rsidRPr="000D7E34">
        <w:rPr>
          <w:rFonts w:hint="eastAsia"/>
        </w:rPr>
        <w:t>’</w:t>
      </w:r>
      <w:r w:rsidRPr="000D7E34">
        <w:t xml:space="preserve">offesa arrecata, tenendo conto delle modalità della condotta, </w:t>
      </w:r>
      <w:r w:rsidRPr="000D7E34">
        <w:rPr>
          <w:rFonts w:hint="eastAsia"/>
        </w:rPr>
        <w:t>nonché</w:t>
      </w:r>
      <w:r w:rsidRPr="000D7E34">
        <w:t xml:space="preserve"> dell</w:t>
      </w:r>
      <w:r w:rsidRPr="000D7E34">
        <w:rPr>
          <w:rFonts w:hint="eastAsia"/>
        </w:rPr>
        <w:t>’</w:t>
      </w:r>
      <w:r w:rsidRPr="000D7E34">
        <w:t>esiguità del danno o del pericolo arrecato, in relazione ai parametri di riferimento indicati dall</w:t>
      </w:r>
      <w:r w:rsidRPr="000D7E34">
        <w:rPr>
          <w:rFonts w:hint="eastAsia"/>
        </w:rPr>
        <w:t>’</w:t>
      </w:r>
      <w:r w:rsidRPr="000D7E34">
        <w:t>art. 133, comma 1, c.p.</w:t>
      </w:r>
    </w:p>
  </w:footnote>
  <w:footnote w:id="2">
    <w:p w:rsidR="00AE7A76" w:rsidRPr="000D7E34" w:rsidRDefault="00AE7A76" w:rsidP="00FD289A">
      <w:pPr>
        <w:pStyle w:val="Notaapipagina"/>
      </w:pPr>
      <w:r w:rsidRPr="000D7E34">
        <w:rPr>
          <w:rStyle w:val="Rimandonotaapidipagina"/>
        </w:rPr>
        <w:footnoteRef/>
      </w:r>
      <w:r w:rsidRPr="000D7E34">
        <w:t xml:space="preserve"> </w:t>
      </w:r>
      <w:r w:rsidRPr="000D7E34">
        <w:rPr>
          <w:rFonts w:ascii="Liberation Serif" w:hAnsi="Liberation Serif"/>
          <w:color w:val="000000"/>
        </w:rPr>
        <w:t>Specificare il limite edittale previsto per il reato ascritto che non deve superare il massimo di cinque anni di pena detentiva, ovvero della pena pecuniaria, sola o congiunta a quella detentiva.</w:t>
      </w:r>
    </w:p>
  </w:footnote>
  <w:footnote w:id="3">
    <w:p w:rsidR="00AE7A76" w:rsidRPr="000D7E34" w:rsidRDefault="00AE7A76" w:rsidP="000D7E34">
      <w:pPr>
        <w:pStyle w:val="Notaapipagina"/>
        <w:rPr>
          <w:spacing w:val="-2"/>
        </w:rPr>
      </w:pPr>
      <w:r w:rsidRPr="000D7E34">
        <w:rPr>
          <w:rStyle w:val="Rimandonotaapidipagina"/>
          <w:spacing w:val="-2"/>
        </w:rPr>
        <w:footnoteRef/>
      </w:r>
      <w:r w:rsidRPr="000D7E34">
        <w:rPr>
          <w:spacing w:val="-2"/>
        </w:rPr>
        <w:t xml:space="preserve"> </w:t>
      </w:r>
      <w:r w:rsidRPr="000D7E34">
        <w:rPr>
          <w:rFonts w:ascii="Liberation Serif" w:hAnsi="Liberation Serif"/>
          <w:color w:val="000000"/>
          <w:spacing w:val="-2"/>
        </w:rPr>
        <w:t xml:space="preserve">Il proscioglimento </w:t>
      </w:r>
      <w:r w:rsidRPr="000D7E34">
        <w:rPr>
          <w:rFonts w:ascii="Liberation Serif" w:hAnsi="Liberation Serif"/>
          <w:i/>
          <w:color w:val="000000"/>
          <w:spacing w:val="-2"/>
        </w:rPr>
        <w:t>ex</w:t>
      </w:r>
      <w:r w:rsidRPr="000D7E34">
        <w:rPr>
          <w:rFonts w:ascii="Liberation Serif" w:hAnsi="Liberation Serif"/>
          <w:color w:val="000000"/>
          <w:spacing w:val="-2"/>
        </w:rPr>
        <w:t xml:space="preserve"> art. 131</w:t>
      </w:r>
      <w:r w:rsidR="00BB49B2">
        <w:rPr>
          <w:rFonts w:ascii="Liberation Serif" w:hAnsi="Liberation Serif"/>
          <w:color w:val="000000"/>
          <w:spacing w:val="-2"/>
        </w:rPr>
        <w:t>-</w:t>
      </w:r>
      <w:r w:rsidRPr="000D7E34">
        <w:rPr>
          <w:rFonts w:ascii="Liberation Serif" w:hAnsi="Liberation Serif"/>
          <w:i/>
          <w:color w:val="000000"/>
          <w:spacing w:val="-2"/>
        </w:rPr>
        <w:t>bis</w:t>
      </w:r>
      <w:r w:rsidRPr="000D7E34">
        <w:rPr>
          <w:rFonts w:ascii="Liberation Serif" w:hAnsi="Liberation Serif"/>
          <w:color w:val="000000"/>
          <w:spacing w:val="-2"/>
        </w:rPr>
        <w:t xml:space="preserve"> c.p. richiede che l</w:t>
      </w:r>
      <w:r w:rsidRPr="000D7E34">
        <w:rPr>
          <w:rFonts w:ascii="Liberation Serif" w:hAnsi="Liberation Serif" w:hint="eastAsia"/>
          <w:color w:val="000000"/>
          <w:spacing w:val="-2"/>
        </w:rPr>
        <w:t>’</w:t>
      </w:r>
      <w:r w:rsidRPr="000D7E34">
        <w:rPr>
          <w:rFonts w:ascii="Liberation Serif" w:hAnsi="Liberation Serif"/>
          <w:color w:val="000000"/>
          <w:spacing w:val="-2"/>
        </w:rPr>
        <w:t xml:space="preserve">imputato non sia stato dichiarato delinquente abituale, professionale o per tendenza, ovvero non abbia commesso più reati della stessa indole, </w:t>
      </w:r>
      <w:r w:rsidRPr="000D7E34">
        <w:rPr>
          <w:rFonts w:ascii="Liberation Serif" w:hAnsi="Liberation Serif" w:hint="eastAsia"/>
          <w:color w:val="000000"/>
          <w:spacing w:val="-2"/>
        </w:rPr>
        <w:t>benché</w:t>
      </w:r>
      <w:r w:rsidRPr="000D7E34">
        <w:rPr>
          <w:rFonts w:ascii="Liberation Serif" w:hAnsi="Liberation Serif"/>
          <w:color w:val="000000"/>
          <w:spacing w:val="-2"/>
        </w:rPr>
        <w:t xml:space="preserve"> ciascun fatto –</w:t>
      </w:r>
      <w:r w:rsidR="000D7E34">
        <w:rPr>
          <w:rFonts w:ascii="Liberation Serif" w:hAnsi="Liberation Serif"/>
          <w:color w:val="000000"/>
          <w:spacing w:val="-2"/>
        </w:rPr>
        <w:t xml:space="preserve"> </w:t>
      </w:r>
      <w:r w:rsidRPr="000D7E34">
        <w:rPr>
          <w:rFonts w:ascii="Liberation Serif" w:hAnsi="Liberation Serif"/>
          <w:color w:val="000000"/>
          <w:spacing w:val="-2"/>
        </w:rPr>
        <w:t>singolarmente valutato</w:t>
      </w:r>
      <w:r w:rsidR="000D7E34">
        <w:rPr>
          <w:rFonts w:ascii="Liberation Serif" w:hAnsi="Liberation Serif"/>
          <w:color w:val="000000"/>
          <w:spacing w:val="-2"/>
        </w:rPr>
        <w:t xml:space="preserve"> </w:t>
      </w:r>
      <w:r w:rsidRPr="000D7E34">
        <w:rPr>
          <w:rFonts w:ascii="Liberation Serif" w:hAnsi="Liberation Serif"/>
          <w:color w:val="000000"/>
          <w:spacing w:val="-2"/>
        </w:rPr>
        <w:t xml:space="preserve">– si possa </w:t>
      </w:r>
      <w:r w:rsidRPr="000D7E34">
        <w:rPr>
          <w:rFonts w:ascii="Liberation Serif" w:hAnsi="Liberation Serif" w:hint="eastAsia"/>
          <w:color w:val="000000"/>
          <w:spacing w:val="-2"/>
        </w:rPr>
        <w:t>considerare</w:t>
      </w:r>
      <w:r w:rsidRPr="000D7E34">
        <w:rPr>
          <w:rFonts w:ascii="Liberation Serif" w:hAnsi="Liberation Serif"/>
          <w:color w:val="000000"/>
          <w:spacing w:val="-2"/>
        </w:rPr>
        <w:t xml:space="preserve"> particolarmente tenue (recidiva specifica); parimenti che non abbia commesso fatti di reato mediante condotte plurime, abituali e reiterate, come si evince dal casellario giudiziario. Quanto agli atti che possono essere prodotti dalla difesa, si pensi al certificato dei carichi pendenti, ove risulti privo di iscrizioni; </w:t>
      </w:r>
      <w:r w:rsidRPr="000D7E34">
        <w:rPr>
          <w:rFonts w:ascii="Liberation Serif" w:hAnsi="Liberation Serif" w:hint="eastAsia"/>
          <w:color w:val="000000"/>
          <w:spacing w:val="-2"/>
        </w:rPr>
        <w:t>nonché</w:t>
      </w:r>
      <w:r w:rsidRPr="000D7E34">
        <w:rPr>
          <w:rFonts w:ascii="Liberation Serif" w:hAnsi="Liberation Serif"/>
          <w:color w:val="000000"/>
          <w:spacing w:val="-2"/>
        </w:rPr>
        <w:t>, l</w:t>
      </w:r>
      <w:r w:rsidRPr="000D7E34">
        <w:rPr>
          <w:rFonts w:ascii="Liberation Serif" w:hAnsi="Liberation Serif" w:hint="eastAsia"/>
          <w:color w:val="000000"/>
          <w:spacing w:val="-2"/>
        </w:rPr>
        <w:t>’</w:t>
      </w:r>
      <w:r w:rsidRPr="000D7E34">
        <w:rPr>
          <w:rFonts w:ascii="Liberation Serif" w:hAnsi="Liberation Serif"/>
          <w:color w:val="000000"/>
          <w:spacing w:val="-2"/>
        </w:rPr>
        <w:t>eventuale prova documentale dell</w:t>
      </w:r>
      <w:r w:rsidRPr="000D7E34">
        <w:rPr>
          <w:rFonts w:ascii="Liberation Serif" w:hAnsi="Liberation Serif" w:hint="eastAsia"/>
          <w:color w:val="000000"/>
          <w:spacing w:val="-2"/>
        </w:rPr>
        <w:t>’</w:t>
      </w:r>
      <w:r w:rsidRPr="000D7E34">
        <w:rPr>
          <w:rFonts w:ascii="Liberation Serif" w:hAnsi="Liberation Serif"/>
          <w:color w:val="000000"/>
          <w:spacing w:val="-2"/>
        </w:rPr>
        <w:t>avvenuto risarcimento del danno (es. transazione); e/o prova documentale della manifestazione di volontà di addivenire alla conciliazione con la persona offesa dal reato (es. lettera di scuse), ovvero del</w:t>
      </w:r>
      <w:r w:rsidR="000D7E34">
        <w:rPr>
          <w:rFonts w:ascii="Liberation Serif" w:hAnsi="Liberation Serif"/>
          <w:color w:val="000000"/>
          <w:spacing w:val="-2"/>
        </w:rPr>
        <w:softHyphen/>
      </w:r>
      <w:r w:rsidRPr="000D7E34">
        <w:rPr>
          <w:rFonts w:ascii="Liberation Serif" w:hAnsi="Liberation Serif"/>
          <w:color w:val="000000"/>
          <w:spacing w:val="-2"/>
        </w:rPr>
        <w:t>l</w:t>
      </w:r>
      <w:r w:rsidRPr="000D7E34">
        <w:rPr>
          <w:rFonts w:ascii="Liberation Serif" w:hAnsi="Liberation Serif" w:hint="eastAsia"/>
          <w:color w:val="000000"/>
          <w:spacing w:val="-2"/>
        </w:rPr>
        <w:t>’</w:t>
      </w:r>
      <w:r w:rsidRPr="000D7E34">
        <w:rPr>
          <w:rFonts w:ascii="Liberation Serif" w:hAnsi="Liberation Serif"/>
          <w:color w:val="000000"/>
          <w:spacing w:val="-2"/>
        </w:rPr>
        <w:t>avvenuta conciliazione con la predetta. V. anche Quadro essenziale § XI</w:t>
      </w:r>
      <w:r w:rsidR="00944D7E">
        <w:rPr>
          <w:rFonts w:ascii="Liberation Serif" w:hAnsi="Liberation Serif"/>
          <w:color w:val="000000"/>
          <w:spacing w:val="-2"/>
        </w:rPr>
        <w:t>V</w:t>
      </w:r>
      <w:r w:rsidRPr="000D7E34">
        <w:rPr>
          <w:rFonts w:ascii="Liberation Serif" w:hAnsi="Liberation Serif"/>
          <w:color w:val="000000"/>
          <w:spacing w:val="-2"/>
        </w:rPr>
        <w:t>,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A08B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53BD" w:rsidRPr="00CA2F41" w:rsidRDefault="004153BD" w:rsidP="004153B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4153B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8B4" w:rsidRDefault="004A08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8" type="connector" idref="#AutoShape 6"/>
        <o:r id="V:Rule29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D7E34"/>
    <w:rsid w:val="000E375D"/>
    <w:rsid w:val="00103859"/>
    <w:rsid w:val="0010651F"/>
    <w:rsid w:val="001148B4"/>
    <w:rsid w:val="00115BF0"/>
    <w:rsid w:val="00116557"/>
    <w:rsid w:val="00136BD5"/>
    <w:rsid w:val="00144286"/>
    <w:rsid w:val="001571E4"/>
    <w:rsid w:val="00160F26"/>
    <w:rsid w:val="00162A3D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02C0"/>
    <w:rsid w:val="0023575D"/>
    <w:rsid w:val="00246703"/>
    <w:rsid w:val="00253383"/>
    <w:rsid w:val="0026008A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2F4"/>
    <w:rsid w:val="002F2CB9"/>
    <w:rsid w:val="002F46F9"/>
    <w:rsid w:val="00302D8E"/>
    <w:rsid w:val="003040CC"/>
    <w:rsid w:val="003178E8"/>
    <w:rsid w:val="003212AC"/>
    <w:rsid w:val="0032343F"/>
    <w:rsid w:val="00342404"/>
    <w:rsid w:val="00355020"/>
    <w:rsid w:val="00356667"/>
    <w:rsid w:val="0037282E"/>
    <w:rsid w:val="00390B4B"/>
    <w:rsid w:val="003B69D6"/>
    <w:rsid w:val="003B6C64"/>
    <w:rsid w:val="003C70F2"/>
    <w:rsid w:val="003E59A3"/>
    <w:rsid w:val="003F241A"/>
    <w:rsid w:val="0040145D"/>
    <w:rsid w:val="00405054"/>
    <w:rsid w:val="004058F6"/>
    <w:rsid w:val="00411911"/>
    <w:rsid w:val="0041352E"/>
    <w:rsid w:val="004153BD"/>
    <w:rsid w:val="00416841"/>
    <w:rsid w:val="00417307"/>
    <w:rsid w:val="0042440B"/>
    <w:rsid w:val="00430E5A"/>
    <w:rsid w:val="00436FE8"/>
    <w:rsid w:val="0044568F"/>
    <w:rsid w:val="00445D23"/>
    <w:rsid w:val="00447AC9"/>
    <w:rsid w:val="00447EA0"/>
    <w:rsid w:val="00452DFF"/>
    <w:rsid w:val="0045770A"/>
    <w:rsid w:val="004772B7"/>
    <w:rsid w:val="0048140E"/>
    <w:rsid w:val="00484006"/>
    <w:rsid w:val="00490861"/>
    <w:rsid w:val="00495E04"/>
    <w:rsid w:val="004A08B4"/>
    <w:rsid w:val="004A3E08"/>
    <w:rsid w:val="004D00C5"/>
    <w:rsid w:val="004E7DC4"/>
    <w:rsid w:val="004F5617"/>
    <w:rsid w:val="00515A82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8FF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77BEF"/>
    <w:rsid w:val="006844D6"/>
    <w:rsid w:val="00686660"/>
    <w:rsid w:val="0069030D"/>
    <w:rsid w:val="00692BF5"/>
    <w:rsid w:val="00693FA7"/>
    <w:rsid w:val="006A4DF4"/>
    <w:rsid w:val="006A77BD"/>
    <w:rsid w:val="006A79D7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7522"/>
    <w:rsid w:val="00722AA4"/>
    <w:rsid w:val="00730D8D"/>
    <w:rsid w:val="00730EC3"/>
    <w:rsid w:val="00746538"/>
    <w:rsid w:val="0074785F"/>
    <w:rsid w:val="00751F19"/>
    <w:rsid w:val="007663CA"/>
    <w:rsid w:val="007664F6"/>
    <w:rsid w:val="00772792"/>
    <w:rsid w:val="00775613"/>
    <w:rsid w:val="00775C97"/>
    <w:rsid w:val="00780BDF"/>
    <w:rsid w:val="007812B6"/>
    <w:rsid w:val="007943D2"/>
    <w:rsid w:val="007A01F7"/>
    <w:rsid w:val="007A6513"/>
    <w:rsid w:val="007B1615"/>
    <w:rsid w:val="007C1D50"/>
    <w:rsid w:val="007C5D21"/>
    <w:rsid w:val="007E2132"/>
    <w:rsid w:val="007E38D9"/>
    <w:rsid w:val="007E79B6"/>
    <w:rsid w:val="00816377"/>
    <w:rsid w:val="0082617E"/>
    <w:rsid w:val="00832EE7"/>
    <w:rsid w:val="00833DD3"/>
    <w:rsid w:val="00833E73"/>
    <w:rsid w:val="008416A1"/>
    <w:rsid w:val="00860FEA"/>
    <w:rsid w:val="00862974"/>
    <w:rsid w:val="00874227"/>
    <w:rsid w:val="00881C16"/>
    <w:rsid w:val="00882AB0"/>
    <w:rsid w:val="008849FF"/>
    <w:rsid w:val="00891265"/>
    <w:rsid w:val="00893CA6"/>
    <w:rsid w:val="00894761"/>
    <w:rsid w:val="00896B0F"/>
    <w:rsid w:val="008B189F"/>
    <w:rsid w:val="008C5F47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D7E"/>
    <w:rsid w:val="00955318"/>
    <w:rsid w:val="009632C5"/>
    <w:rsid w:val="00966FF8"/>
    <w:rsid w:val="00967B22"/>
    <w:rsid w:val="00972A19"/>
    <w:rsid w:val="00973015"/>
    <w:rsid w:val="009840A3"/>
    <w:rsid w:val="00992DA0"/>
    <w:rsid w:val="009B598D"/>
    <w:rsid w:val="009C77D1"/>
    <w:rsid w:val="009E1E4A"/>
    <w:rsid w:val="009E543D"/>
    <w:rsid w:val="00A049F8"/>
    <w:rsid w:val="00A07FC2"/>
    <w:rsid w:val="00A2118C"/>
    <w:rsid w:val="00A22655"/>
    <w:rsid w:val="00A6074F"/>
    <w:rsid w:val="00A706EC"/>
    <w:rsid w:val="00A77E0D"/>
    <w:rsid w:val="00A84308"/>
    <w:rsid w:val="00AB03D6"/>
    <w:rsid w:val="00AB73DB"/>
    <w:rsid w:val="00AC7BCC"/>
    <w:rsid w:val="00AD57CD"/>
    <w:rsid w:val="00AE1D83"/>
    <w:rsid w:val="00AE3DD7"/>
    <w:rsid w:val="00AE7A76"/>
    <w:rsid w:val="00AF30EA"/>
    <w:rsid w:val="00B0101C"/>
    <w:rsid w:val="00B16B93"/>
    <w:rsid w:val="00B32178"/>
    <w:rsid w:val="00B3445A"/>
    <w:rsid w:val="00B44764"/>
    <w:rsid w:val="00B542A1"/>
    <w:rsid w:val="00B70EC1"/>
    <w:rsid w:val="00B82B8B"/>
    <w:rsid w:val="00BA1E38"/>
    <w:rsid w:val="00BB49B2"/>
    <w:rsid w:val="00BC75D6"/>
    <w:rsid w:val="00BE459A"/>
    <w:rsid w:val="00BF4AF7"/>
    <w:rsid w:val="00BF54E3"/>
    <w:rsid w:val="00C03C67"/>
    <w:rsid w:val="00C12C42"/>
    <w:rsid w:val="00C137EB"/>
    <w:rsid w:val="00C14B20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D28"/>
    <w:rsid w:val="00D46EDF"/>
    <w:rsid w:val="00D50A84"/>
    <w:rsid w:val="00D52E97"/>
    <w:rsid w:val="00D7166A"/>
    <w:rsid w:val="00D76037"/>
    <w:rsid w:val="00D90929"/>
    <w:rsid w:val="00D9164F"/>
    <w:rsid w:val="00DA69B8"/>
    <w:rsid w:val="00DA713B"/>
    <w:rsid w:val="00DC0512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365BD"/>
    <w:rsid w:val="00E4378D"/>
    <w:rsid w:val="00E6162E"/>
    <w:rsid w:val="00E70178"/>
    <w:rsid w:val="00E82E4D"/>
    <w:rsid w:val="00E83658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0B9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5FB2"/>
    <w:rsid w:val="00F7321C"/>
    <w:rsid w:val="00F73B75"/>
    <w:rsid w:val="00F76A29"/>
    <w:rsid w:val="00F805A4"/>
    <w:rsid w:val="00F85F38"/>
    <w:rsid w:val="00F866C4"/>
    <w:rsid w:val="00F90EBB"/>
    <w:rsid w:val="00FA19BF"/>
    <w:rsid w:val="00FA3461"/>
    <w:rsid w:val="00FA6FB3"/>
    <w:rsid w:val="00FB5388"/>
    <w:rsid w:val="00FD0F53"/>
    <w:rsid w:val="00FD17CC"/>
    <w:rsid w:val="00FD289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BA1E38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A1E38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A1E38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A1E38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BA1E38"/>
    <w:rPr>
      <w:snapToGrid w:val="0"/>
      <w:sz w:val="24"/>
    </w:rPr>
  </w:style>
  <w:style w:type="character" w:customStyle="1" w:styleId="Titolo7Carattere">
    <w:name w:val="Titolo 7 Carattere"/>
    <w:link w:val="Titolo7"/>
    <w:rsid w:val="00BA1E38"/>
    <w:rPr>
      <w:snapToGrid w:val="0"/>
      <w:sz w:val="24"/>
    </w:rPr>
  </w:style>
  <w:style w:type="character" w:customStyle="1" w:styleId="Titolo8Carattere">
    <w:name w:val="Titolo 8 Carattere"/>
    <w:link w:val="Titolo8"/>
    <w:rsid w:val="00BA1E38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A1E38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A1E38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A1E38"/>
    <w:rPr>
      <w:b/>
      <w:bCs/>
      <w:sz w:val="24"/>
      <w:szCs w:val="24"/>
    </w:rPr>
  </w:style>
  <w:style w:type="paragraph" w:customStyle="1" w:styleId="cpv">
    <w:name w:val="cpv"/>
    <w:rsid w:val="00BA1E38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3016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B833D-E747-4D60-9C97-418E0180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2015-07-29T12:46:00Z</cp:lastPrinted>
  <dcterms:created xsi:type="dcterms:W3CDTF">2015-09-16T12:53:00Z</dcterms:created>
  <dcterms:modified xsi:type="dcterms:W3CDTF">2016-06-01T12:56:00Z</dcterms:modified>
</cp:coreProperties>
</file>