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18362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18362E" w:rsidP="0073715F">
            <w:pPr>
              <w:pStyle w:val="DicituraAtto"/>
            </w:pPr>
            <w:r w:rsidRPr="009D0B43">
              <w:t>3</w:t>
            </w:r>
            <w:r w:rsidR="00761625" w:rsidRPr="009D0B43">
              <w:t>7</w:t>
            </w:r>
            <w:r w:rsidR="0073715F" w:rsidRPr="009D0B43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18362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18362E" w:rsidP="0018362E">
            <w:pPr>
              <w:pStyle w:val="TitoloAtto"/>
            </w:pPr>
            <w:r w:rsidRPr="009D0B43">
              <w:t>Richiesta di revoca delle sanzioni pecuniarie</w:t>
            </w:r>
          </w:p>
        </w:tc>
      </w:tr>
    </w:tbl>
    <w:p w:rsidR="001725B9" w:rsidRPr="009D0B43" w:rsidRDefault="001725B9" w:rsidP="0018362E">
      <w:pPr>
        <w:pStyle w:val="CapoversoAtti"/>
      </w:pPr>
    </w:p>
    <w:p w:rsidR="0018362E" w:rsidRPr="009D0B43" w:rsidRDefault="0018362E" w:rsidP="0018362E">
      <w:pPr>
        <w:pStyle w:val="CapoversoAtti"/>
      </w:pPr>
    </w:p>
    <w:p w:rsidR="001725B9" w:rsidRPr="009D0B43" w:rsidRDefault="001725B9" w:rsidP="0018362E">
      <w:pPr>
        <w:pStyle w:val="CapoversoAtti"/>
      </w:pPr>
    </w:p>
    <w:p w:rsidR="001725B9" w:rsidRPr="009D0B43" w:rsidRDefault="009613CB" w:rsidP="00761625">
      <w:pPr>
        <w:pStyle w:val="CapoversoAtti"/>
        <w:spacing w:line="250" w:lineRule="exact"/>
        <w:jc w:val="center"/>
      </w:pPr>
      <w:r w:rsidRPr="009D0B43">
        <w:t>Tribunale</w:t>
      </w:r>
      <w:r w:rsidR="001725B9" w:rsidRPr="009D0B43">
        <w:t xml:space="preserve"> di … … ...</w:t>
      </w:r>
      <w:r w:rsidR="001725B9" w:rsidRPr="009D0B43">
        <w:rPr>
          <w:snapToGrid w:val="0"/>
          <w:color w:val="000000"/>
          <w:u w:color="000000"/>
        </w:rPr>
        <w:t> </w:t>
      </w:r>
      <w:r w:rsidR="001725B9" w:rsidRPr="009D0B4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1725B9" w:rsidRPr="009D0B43" w:rsidRDefault="001725B9" w:rsidP="00761625">
      <w:pPr>
        <w:pStyle w:val="CapoversoAtti"/>
        <w:spacing w:line="250" w:lineRule="exact"/>
      </w:pPr>
    </w:p>
    <w:p w:rsidR="001725B9" w:rsidRPr="009D0B43" w:rsidRDefault="001725B9" w:rsidP="00761625">
      <w:pPr>
        <w:pStyle w:val="CapoversoAtti"/>
        <w:spacing w:line="250" w:lineRule="exact"/>
      </w:pPr>
    </w:p>
    <w:p w:rsidR="001725B9" w:rsidRPr="009D0B43" w:rsidRDefault="001725B9" w:rsidP="00761625">
      <w:pPr>
        <w:pStyle w:val="CapoversoAtti"/>
        <w:spacing w:line="250" w:lineRule="exact"/>
      </w:pPr>
      <w:r w:rsidRPr="009D0B43">
        <w:t xml:space="preserve">Il </w:t>
      </w:r>
      <w:proofErr w:type="gramStart"/>
      <w:r w:rsidRPr="009D0B43">
        <w:t>sottoscritto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2"/>
      </w:r>
      <w:r w:rsidRPr="009D0B43">
        <w:t xml:space="preserve"> …</w:t>
      </w:r>
      <w:proofErr w:type="gramEnd"/>
      <w:r w:rsidRPr="009D0B43">
        <w:t xml:space="preserve"> … … (nome e cognome, data di nascita, residenza ed elezione di domicilio), persona condannata con sentenza/ordinanza n. ... ... ... emessa in data …/…/… (indicare data) nel procedimento n. ... ... ..., da … … … (indicare organo), alla sanzione disciplinare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3"/>
      </w:r>
      <w:r w:rsidRPr="009D0B43">
        <w:t>/alla perdita della cauzione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4"/>
      </w:r>
      <w:r w:rsidRPr="009D0B43">
        <w:t>/alla pena pecuniaria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5"/>
      </w:r>
    </w:p>
    <w:p w:rsidR="001725B9" w:rsidRPr="009D0B43" w:rsidRDefault="001725B9" w:rsidP="00761625">
      <w:pPr>
        <w:pStyle w:val="CapoversoAtti"/>
        <w:spacing w:line="250" w:lineRule="exact"/>
      </w:pPr>
    </w:p>
    <w:p w:rsidR="001725B9" w:rsidRPr="009D0B43" w:rsidRDefault="001725B9" w:rsidP="00761625">
      <w:pPr>
        <w:pStyle w:val="CapoversoAtti"/>
        <w:spacing w:line="250" w:lineRule="exact"/>
        <w:jc w:val="center"/>
        <w:rPr>
          <w:i/>
        </w:rPr>
      </w:pPr>
      <w:proofErr w:type="gramStart"/>
      <w:r w:rsidRPr="009D0B43">
        <w:rPr>
          <w:i/>
        </w:rPr>
        <w:t>premesso</w:t>
      </w:r>
      <w:proofErr w:type="gramEnd"/>
    </w:p>
    <w:p w:rsidR="001725B9" w:rsidRPr="009D0B43" w:rsidRDefault="001725B9" w:rsidP="00761625">
      <w:pPr>
        <w:pStyle w:val="CapoversoAtti"/>
        <w:spacing w:line="250" w:lineRule="exact"/>
      </w:pPr>
    </w:p>
    <w:p w:rsidR="001725B9" w:rsidRPr="009D0B43" w:rsidRDefault="001725B9" w:rsidP="00761625">
      <w:pPr>
        <w:pStyle w:val="CapoversoAtti"/>
        <w:spacing w:line="250" w:lineRule="exact"/>
      </w:pPr>
      <w:r w:rsidRPr="009D0B43">
        <w:rPr>
          <w:spacing w:val="2"/>
        </w:rPr>
        <w:t xml:space="preserve">– che con il provvedimento emesso in data …/…/... da … … … è </w:t>
      </w:r>
      <w:r w:rsidR="009613CB" w:rsidRPr="009D0B43">
        <w:rPr>
          <w:spacing w:val="2"/>
        </w:rPr>
        <w:t>stato</w:t>
      </w:r>
      <w:r w:rsidRPr="009D0B43">
        <w:rPr>
          <w:spacing w:val="2"/>
        </w:rPr>
        <w:t xml:space="preserve"> con</w:t>
      </w:r>
      <w:r w:rsidRPr="009D0B43">
        <w:t>dannato alla sanzione disciplinare/alla perdita della cauzione/alla pena pecuniaria;</w:t>
      </w:r>
    </w:p>
    <w:p w:rsidR="001725B9" w:rsidRPr="009D0B43" w:rsidRDefault="001725B9" w:rsidP="0018362E">
      <w:pPr>
        <w:pStyle w:val="CapoversoAtti"/>
      </w:pPr>
      <w:r w:rsidRPr="009D0B43">
        <w:lastRenderedPageBreak/>
        <w:t xml:space="preserve">– che il provvedimento può essere revocato per le seguenti ragioni … … </w:t>
      </w:r>
      <w:proofErr w:type="gramStart"/>
      <w:r w:rsidRPr="009D0B43">
        <w:t>...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6"/>
      </w:r>
      <w:r w:rsidRPr="009D0B43">
        <w:t>:</w:t>
      </w:r>
      <w:proofErr w:type="gramEnd"/>
    </w:p>
    <w:p w:rsidR="001725B9" w:rsidRPr="009D0B43" w:rsidRDefault="001725B9" w:rsidP="0018362E">
      <w:pPr>
        <w:pStyle w:val="CapoversoAtti"/>
      </w:pPr>
      <w:r w:rsidRPr="009D0B43">
        <w:t>… … …</w:t>
      </w:r>
    </w:p>
    <w:p w:rsidR="001725B9" w:rsidRPr="009D0B43" w:rsidRDefault="001725B9" w:rsidP="0018362E">
      <w:pPr>
        <w:pStyle w:val="CapoversoAtti"/>
      </w:pPr>
      <w:r w:rsidRPr="009D0B43">
        <w:t>… … …</w:t>
      </w:r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chiede</w:t>
      </w:r>
      <w:proofErr w:type="gramEnd"/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</w:pPr>
      <w:proofErr w:type="gramStart"/>
      <w:r w:rsidRPr="009D0B43">
        <w:t>ai</w:t>
      </w:r>
      <w:proofErr w:type="gramEnd"/>
      <w:r w:rsidRPr="009D0B43">
        <w:t xml:space="preserve"> sensi dell</w:t>
      </w:r>
      <w:r w:rsidR="00D050C1" w:rsidRPr="009D0B43">
        <w:t>’</w:t>
      </w:r>
      <w:r w:rsidRPr="009D0B43">
        <w:t>art.664 c.p.p., la revoca della condanna al pagamento della somma.</w:t>
      </w:r>
    </w:p>
    <w:p w:rsidR="001725B9" w:rsidRPr="009D0B43" w:rsidRDefault="001725B9" w:rsidP="0018362E">
      <w:pPr>
        <w:pStyle w:val="CapoversoAtti"/>
      </w:pPr>
    </w:p>
    <w:p w:rsidR="00182A74" w:rsidRPr="00966FF8" w:rsidRDefault="001725B9" w:rsidP="00E85F9F">
      <w:pPr>
        <w:pStyle w:val="CapoversoAtti"/>
        <w:rPr>
          <w:sz w:val="2"/>
          <w:szCs w:val="2"/>
        </w:rPr>
      </w:pPr>
      <w:r w:rsidRPr="009D0B43">
        <w:t>Luogo e data</w:t>
      </w:r>
      <w:bookmarkStart w:id="0" w:name="_GoBack"/>
      <w:bookmarkEnd w:id="0"/>
    </w:p>
    <w:sectPr w:rsidR="00182A74" w:rsidRPr="00966FF8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Giudice competente è</w:t>
      </w:r>
      <w:r>
        <w:t xml:space="preserve"> </w:t>
      </w:r>
      <w:r w:rsidRPr="00635B63">
        <w:t xml:space="preserve">quello che ha adottato il provvedimento con il quale è stata irrogata la condanna. </w:t>
      </w:r>
    </w:p>
  </w:footnote>
  <w:footnote w:id="2">
    <w:p w:rsidR="00310EF1" w:rsidRPr="00761625" w:rsidRDefault="00310EF1" w:rsidP="0018362E">
      <w:pPr>
        <w:pStyle w:val="Notaapipagina"/>
        <w:rPr>
          <w:spacing w:val="-2"/>
        </w:rPr>
      </w:pPr>
      <w:r w:rsidRPr="00761625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761625">
        <w:rPr>
          <w:snapToGrid w:val="0"/>
          <w:spacing w:val="-2"/>
          <w:u w:color="000000"/>
        </w:rPr>
        <w:t> </w:t>
      </w:r>
      <w:r w:rsidRPr="00761625">
        <w:rPr>
          <w:spacing w:val="-2"/>
        </w:rPr>
        <w:t>Ai sensi dell’art. 664, comma 2, c.p.p. la legittimazione a presentare l’istanza spetta all</w:t>
      </w:r>
      <w:proofErr w:type="gramStart"/>
      <w:r w:rsidRPr="00761625">
        <w:rPr>
          <w:spacing w:val="-2"/>
        </w:rPr>
        <w:t>’«</w:t>
      </w:r>
      <w:proofErr w:type="gramEnd"/>
      <w:r w:rsidRPr="00761625">
        <w:rPr>
          <w:spacing w:val="-2"/>
        </w:rPr>
        <w:t>inte</w:t>
      </w:r>
      <w:r w:rsidR="00761625" w:rsidRPr="00761625">
        <w:rPr>
          <w:spacing w:val="-2"/>
        </w:rPr>
        <w:softHyphen/>
      </w:r>
      <w:r w:rsidRPr="00761625">
        <w:rPr>
          <w:spacing w:val="-2"/>
        </w:rPr>
        <w:t>ressato». Poiché trattasi di condanne che possono riguardare soggetti (come testimoni, consulenti tecnici, ecc.) che non devono necessariamente essere assistiti non è necessario la nomina del difensore.</w:t>
      </w:r>
    </w:p>
  </w:footnote>
  <w:footnote w:id="3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473F87">
        <w:t xml:space="preserve">Si tratta delle sanzioni che il </w:t>
      </w:r>
      <w:r w:rsidR="009D0B43">
        <w:t>Giudice</w:t>
      </w:r>
      <w:r w:rsidRPr="00473F87">
        <w:t xml:space="preserve"> può irrogare: al testimone, perito, consulente tecnico, interprete, custode giudiziario regolarmente citati o convocati che non compaiono senza addurre alcun legittimo impedimento ai sensi dell</w:t>
      </w:r>
      <w:r>
        <w:t>’</w:t>
      </w:r>
      <w:r w:rsidRPr="00473F87">
        <w:t>art. 133 c.p.p.; all</w:t>
      </w:r>
      <w:r>
        <w:t>’</w:t>
      </w:r>
      <w:r w:rsidRPr="00473F87">
        <w:t>interprete ed al perito che, sostituiti in quanto non hanno presentato entro il termine la traduzione o la perizia scritta, dopo essere stati citati a comparire per discolparsi vengano condannato al pagamento di una somma ai sensi rispettivamente degli artt. 147, comma 2 e 231, comma 3, c.p.p.; al direttore o vice direttore responsabile che contravviene all</w:t>
      </w:r>
      <w:r>
        <w:t>’</w:t>
      </w:r>
      <w:r w:rsidRPr="00473F87">
        <w:t>ordine di pubblicazione della sentenza di condanna ai sensi dell</w:t>
      </w:r>
      <w:r>
        <w:t>’</w:t>
      </w:r>
      <w:r w:rsidRPr="00473F87">
        <w:t>art. 694 c.p.p.</w:t>
      </w:r>
    </w:p>
  </w:footnote>
  <w:footnote w:id="4">
    <w:p w:rsidR="00310EF1" w:rsidRPr="008B503A" w:rsidRDefault="00310EF1" w:rsidP="0018362E">
      <w:pPr>
        <w:pStyle w:val="Notaapipagina"/>
      </w:pPr>
      <w:r w:rsidRPr="008B503A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8B503A">
        <w:rPr>
          <w:snapToGrid w:val="0"/>
          <w:u w:color="000000"/>
        </w:rPr>
        <w:t> </w:t>
      </w:r>
      <w:r w:rsidRPr="008B503A">
        <w:t xml:space="preserve">Si tratta della cauzione che il </w:t>
      </w:r>
      <w:r w:rsidR="009D0B43">
        <w:t>Giudice</w:t>
      </w:r>
      <w:r w:rsidRPr="008B503A">
        <w:t xml:space="preserve"> può imporre: al custode delle cose sequestrate ai sensi dell</w:t>
      </w:r>
      <w:r>
        <w:t>’</w:t>
      </w:r>
      <w:r w:rsidRPr="008B503A">
        <w:t>art. 259, comma 2, c.p.p.; all</w:t>
      </w:r>
      <w:r>
        <w:t>’</w:t>
      </w:r>
      <w:r w:rsidRPr="008B503A">
        <w:t>avente diritto che abbia ottenuto la restituzione delle cose sequestrate ai sensi dell</w:t>
      </w:r>
      <w:r>
        <w:t>’</w:t>
      </w:r>
      <w:r w:rsidRPr="008B503A">
        <w:t>art. 262, comma 1, c.p.p.; all</w:t>
      </w:r>
      <w:r>
        <w:t>’</w:t>
      </w:r>
      <w:r w:rsidRPr="008B503A">
        <w:t>imputato ed al responsabile civile che abbia ottenuto che non si faccia luogo al sequestro conservativo ai sensi dell</w:t>
      </w:r>
      <w:r>
        <w:t>’</w:t>
      </w:r>
      <w:r w:rsidRPr="008B503A">
        <w:t>art. 319, comma 1, c.p.p.</w:t>
      </w:r>
    </w:p>
  </w:footnote>
  <w:footnote w:id="5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Si tratta della condanna a favore della cassa delle ammende disposta, in caso di inammissibilità o rigetto, delle dichiarazione di ricusazione (art.</w:t>
      </w:r>
      <w:r>
        <w:t xml:space="preserve"> </w:t>
      </w:r>
      <w:r w:rsidRPr="00635B63">
        <w:t xml:space="preserve">44 c.p.p.) e della richiesta di rimessione (art. 48 c.p.p.), di inammissibilità del cassazione per cassazione (art. 616, comma 1, c.p.p.) e della richiesta di revisione (art. 634, comma 1, c.p.p.). Va rammentato, tuttavia, che secondo </w:t>
      </w:r>
      <w:proofErr w:type="spellStart"/>
      <w:proofErr w:type="gramStart"/>
      <w:r w:rsidRPr="00635B63">
        <w:t>Cass</w:t>
      </w:r>
      <w:proofErr w:type="spellEnd"/>
      <w:r w:rsidRPr="00635B63">
        <w:t>.,</w:t>
      </w:r>
      <w:proofErr w:type="gramEnd"/>
      <w:r w:rsidRPr="00635B63">
        <w:t xml:space="preserve"> sez.</w:t>
      </w:r>
      <w:r>
        <w:t xml:space="preserve"> VI, 21 dicembre 1993, Pizzi, </w:t>
      </w:r>
      <w:r w:rsidRPr="00635B63">
        <w:rPr>
          <w:i/>
          <w:iCs/>
        </w:rPr>
        <w:t xml:space="preserve">CED </w:t>
      </w:r>
      <w:proofErr w:type="spellStart"/>
      <w:r w:rsidRPr="00635B63">
        <w:rPr>
          <w:i/>
          <w:iCs/>
        </w:rPr>
        <w:t>Cass</w:t>
      </w:r>
      <w:proofErr w:type="spellEnd"/>
      <w:r w:rsidRPr="00635B63">
        <w:rPr>
          <w:i/>
          <w:iCs/>
        </w:rPr>
        <w:t>.</w:t>
      </w:r>
      <w:r w:rsidRPr="00635B63">
        <w:rPr>
          <w:iCs/>
        </w:rPr>
        <w:t>,</w:t>
      </w:r>
      <w:r w:rsidRPr="00635B63">
        <w:rPr>
          <w:i/>
          <w:iCs/>
        </w:rPr>
        <w:t xml:space="preserve"> </w:t>
      </w:r>
      <w:r w:rsidRPr="00635B63">
        <w:t xml:space="preserve">198256; </w:t>
      </w:r>
      <w:proofErr w:type="spellStart"/>
      <w:r w:rsidRPr="00635B63">
        <w:t>Cass</w:t>
      </w:r>
      <w:proofErr w:type="spellEnd"/>
      <w:r w:rsidRPr="00635B63">
        <w:t>., sez.</w:t>
      </w:r>
      <w:r>
        <w:t xml:space="preserve"> </w:t>
      </w:r>
      <w:r w:rsidRPr="00635B63">
        <w:t>VI</w:t>
      </w:r>
      <w:r>
        <w:t xml:space="preserve">, 28 maggio 1993, Bianchino, </w:t>
      </w:r>
      <w:r w:rsidRPr="00635B63">
        <w:rPr>
          <w:i/>
          <w:iCs/>
        </w:rPr>
        <w:t xml:space="preserve">CED </w:t>
      </w:r>
      <w:proofErr w:type="spellStart"/>
      <w:r w:rsidRPr="00635B63">
        <w:rPr>
          <w:i/>
          <w:iCs/>
        </w:rPr>
        <w:t>Cass</w:t>
      </w:r>
      <w:proofErr w:type="spellEnd"/>
      <w:r w:rsidRPr="00635B63">
        <w:rPr>
          <w:i/>
          <w:iCs/>
        </w:rPr>
        <w:t>.</w:t>
      </w:r>
      <w:r w:rsidRPr="00635B63">
        <w:rPr>
          <w:iCs/>
        </w:rPr>
        <w:t xml:space="preserve">, </w:t>
      </w:r>
      <w:r w:rsidRPr="00635B63">
        <w:t xml:space="preserve">194939 il provvedimento di condanna al pagamento della somma alla cassa delle ammende adottato dalla </w:t>
      </w:r>
      <w:r>
        <w:t>C</w:t>
      </w:r>
      <w:r w:rsidRPr="00635B63">
        <w:t>orte di cassazione in seguito a declaratoria di inammissibilità del ricorso per cassazione non è revocabile.</w:t>
      </w:r>
    </w:p>
  </w:footnote>
  <w:footnote w:id="6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L</w:t>
      </w:r>
      <w:r>
        <w:t>’</w:t>
      </w:r>
      <w:r w:rsidRPr="00635B63">
        <w:t xml:space="preserve">art. 664 c.p.p. non indica i motivi che potrebbero consentire </w:t>
      </w:r>
      <w:smartTag w:uri="urn:schemas-microsoft-com:office:smarttags" w:element="PersonName">
        <w:smartTagPr>
          <w:attr w:name="ProductID" w:val="la revoca. Trattandosi"/>
        </w:smartTagPr>
        <w:r w:rsidRPr="00635B63">
          <w:t>la revoca. Trattandosi</w:t>
        </w:r>
      </w:smartTag>
      <w:r w:rsidRPr="00635B63">
        <w:t xml:space="preserve"> di provvedimenti a carattere sanzionatorio, il richiedente dovrebbe presentare motivi tendenti a dimostrare la legittimità del suo comportamento.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Pr="00530312" w:rsidRDefault="00310EF1" w:rsidP="005303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5"/>
        <o:r id="V:Rule6" type="connector" idref="#AutoShape 3"/>
        <o:r id="V:Rule7" type="connector" idref="#AutoShape 6"/>
        <o:r id="V:Rule8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0312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85F9F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0DB8-F335-44A7-9CCB-6BB378AF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2016-03-18T10:46:00Z</cp:lastPrinted>
  <dcterms:created xsi:type="dcterms:W3CDTF">2015-09-16T13:59:00Z</dcterms:created>
  <dcterms:modified xsi:type="dcterms:W3CDTF">2016-06-01T14:34:00Z</dcterms:modified>
</cp:coreProperties>
</file>