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D475B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D475B7" w:rsidP="00D925C4">
            <w:pPr>
              <w:pStyle w:val="DicituraAtto"/>
            </w:pPr>
            <w:r w:rsidRPr="00CF2003">
              <w:t>3</w:t>
            </w:r>
            <w:r w:rsidR="00E512B9" w:rsidRPr="00CF2003">
              <w:t>9</w:t>
            </w:r>
            <w:r w:rsidR="00D925C4" w:rsidRPr="00CF2003">
              <w:t>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D475B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D475B7" w:rsidP="00D475B7">
            <w:pPr>
              <w:pStyle w:val="TitoloAtto"/>
            </w:pPr>
            <w:r w:rsidRPr="00CF2003">
              <w:t>Domanda di misura alternativa alla detenzione</w:t>
            </w:r>
          </w:p>
        </w:tc>
      </w:tr>
    </w:tbl>
    <w:p w:rsidR="002C49DA" w:rsidRPr="00CF2003" w:rsidRDefault="002C49DA" w:rsidP="002C49DA">
      <w:pPr>
        <w:pStyle w:val="CapoversoAtti"/>
      </w:pPr>
    </w:p>
    <w:p w:rsidR="00D475B7" w:rsidRPr="00CF2003" w:rsidRDefault="00D475B7" w:rsidP="002C49DA">
      <w:pPr>
        <w:pStyle w:val="CapoversoAtti"/>
      </w:pPr>
    </w:p>
    <w:p w:rsidR="002C49DA" w:rsidRPr="00CF2003" w:rsidRDefault="002C49DA" w:rsidP="002C49DA">
      <w:pPr>
        <w:pStyle w:val="CapoversoAtti"/>
        <w:rPr>
          <w:iCs/>
        </w:rPr>
      </w:pPr>
    </w:p>
    <w:p w:rsidR="002C49DA" w:rsidRPr="00CF2003" w:rsidRDefault="00562A61" w:rsidP="00E512B9">
      <w:pPr>
        <w:pStyle w:val="CapoversoAtti"/>
        <w:spacing w:line="232" w:lineRule="exact"/>
        <w:jc w:val="center"/>
      </w:pPr>
      <w:r w:rsidRPr="00CF2003">
        <w:t>Tribunale</w:t>
      </w:r>
      <w:r w:rsidR="002C49DA" w:rsidRPr="00CF2003">
        <w:t xml:space="preserve"> di sorveglianza di … … …</w:t>
      </w:r>
    </w:p>
    <w:p w:rsidR="002C49DA" w:rsidRPr="00CF2003" w:rsidRDefault="002C49DA" w:rsidP="00E512B9">
      <w:pPr>
        <w:pStyle w:val="CapoversoAtti"/>
        <w:spacing w:line="232" w:lineRule="exact"/>
      </w:pPr>
    </w:p>
    <w:p w:rsidR="002C49DA" w:rsidRPr="00CF2003" w:rsidRDefault="002C49DA" w:rsidP="00E512B9">
      <w:pPr>
        <w:pStyle w:val="CapoversoAtti"/>
        <w:spacing w:line="232" w:lineRule="exact"/>
      </w:pPr>
    </w:p>
    <w:p w:rsidR="002C49DA" w:rsidRPr="00CF2003" w:rsidRDefault="002C49DA" w:rsidP="00E512B9">
      <w:pPr>
        <w:pStyle w:val="CapoversoAtti"/>
        <w:spacing w:line="232" w:lineRule="exact"/>
        <w:rPr>
          <w:spacing w:val="-2"/>
        </w:rPr>
      </w:pPr>
      <w:r w:rsidRPr="00CF2003">
        <w:rPr>
          <w:spacing w:val="-2"/>
        </w:rPr>
        <w:t>Il sottoscritto Avv. … … … (nome e cognome), difensore di … … … (nome e cognome), in forza di nomina allegata al presente atto, domiciliato ai fini di questo procedimento in … … …, Via … … …, n. … … … ai sensi dell</w:t>
      </w:r>
      <w:r w:rsidR="00FA6E34" w:rsidRPr="00CF2003">
        <w:rPr>
          <w:spacing w:val="-2"/>
        </w:rPr>
        <w:t>’</w:t>
      </w:r>
      <w:r w:rsidRPr="00CF2003">
        <w:rPr>
          <w:spacing w:val="-2"/>
        </w:rPr>
        <w:t>art. 677, comma 2</w:t>
      </w:r>
      <w:r w:rsidR="00CF2003" w:rsidRPr="00CF2003">
        <w:rPr>
          <w:i/>
          <w:spacing w:val="-2"/>
        </w:rPr>
        <w:t>-</w:t>
      </w:r>
      <w:r w:rsidR="00562A61" w:rsidRPr="00CF2003">
        <w:rPr>
          <w:i/>
          <w:spacing w:val="-2"/>
        </w:rPr>
        <w:t>bis</w:t>
      </w:r>
      <w:r w:rsidR="00562A61" w:rsidRPr="00CF2003">
        <w:rPr>
          <w:spacing w:val="-2"/>
        </w:rPr>
        <w:t>,</w:t>
      </w:r>
      <w:r w:rsidRPr="00CF2003">
        <w:rPr>
          <w:spacing w:val="-2"/>
        </w:rPr>
        <w:t xml:space="preserve"> </w:t>
      </w:r>
      <w:proofErr w:type="gramStart"/>
      <w:r w:rsidRPr="00CF2003">
        <w:rPr>
          <w:spacing w:val="-2"/>
        </w:rPr>
        <w:t>c.p.p.</w:t>
      </w:r>
      <w:r w:rsidRPr="00CF2003">
        <w:rPr>
          <w:snapToGrid w:val="0"/>
          <w:color w:val="000000"/>
          <w:spacing w:val="-2"/>
          <w:u w:color="000000"/>
        </w:rPr>
        <w:t> </w:t>
      </w:r>
      <w:r w:rsidRPr="00CF2003">
        <w:rPr>
          <w:rStyle w:val="Rimandonotaapidipagina"/>
          <w:snapToGrid w:val="0"/>
          <w:color w:val="000000"/>
          <w:spacing w:val="-2"/>
          <w:u w:color="000000"/>
        </w:rPr>
        <w:footnoteReference w:id="1"/>
      </w:r>
      <w:r w:rsidRPr="00CF2003">
        <w:rPr>
          <w:spacing w:val="-2"/>
        </w:rPr>
        <w:t>,</w:t>
      </w:r>
      <w:proofErr w:type="gramEnd"/>
      <w:r w:rsidRPr="00CF2003">
        <w:rPr>
          <w:spacing w:val="-2"/>
        </w:rPr>
        <w:t xml:space="preserve"> condannato alla pena della … … … in forza della sentenza di condanna n. … … … emessa in data …/…/… da … … …, nel processo penale n. … … …</w:t>
      </w:r>
    </w:p>
    <w:p w:rsidR="002C49DA" w:rsidRPr="00CF2003" w:rsidRDefault="002C49DA" w:rsidP="00E512B9">
      <w:pPr>
        <w:pStyle w:val="CapoversoAtti"/>
        <w:spacing w:line="232" w:lineRule="exact"/>
      </w:pPr>
    </w:p>
    <w:p w:rsidR="002C49DA" w:rsidRPr="00CF2003" w:rsidRDefault="002C49DA" w:rsidP="00E512B9">
      <w:pPr>
        <w:pStyle w:val="CapoversoAtti"/>
        <w:spacing w:line="232" w:lineRule="exact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E512B9">
      <w:pPr>
        <w:pStyle w:val="CapoversoAtti"/>
        <w:spacing w:line="232" w:lineRule="exact"/>
      </w:pPr>
    </w:p>
    <w:p w:rsidR="002C49DA" w:rsidRPr="00CF2003" w:rsidRDefault="002C49DA" w:rsidP="00E512B9">
      <w:pPr>
        <w:pStyle w:val="CapoversoAtti"/>
        <w:spacing w:line="232" w:lineRule="exact"/>
      </w:pPr>
      <w:r w:rsidRPr="00CF2003">
        <w:rPr>
          <w:spacing w:val="2"/>
        </w:rPr>
        <w:t>– il Sig. … … … (nome e cognome) deve scontare una pena non superiore a …</w:t>
      </w:r>
      <w:r w:rsidRPr="00CF2003">
        <w:t xml:space="preserve"> … </w:t>
      </w:r>
      <w:proofErr w:type="gramStart"/>
      <w:r w:rsidRPr="00CF2003">
        <w:t>…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2"/>
      </w:r>
      <w:r w:rsidRPr="00CF2003">
        <w:t>;</w:t>
      </w:r>
      <w:proofErr w:type="gramEnd"/>
    </w:p>
    <w:p w:rsidR="002C49DA" w:rsidRPr="00CF2003" w:rsidRDefault="002C49DA" w:rsidP="00E512B9">
      <w:pPr>
        <w:pStyle w:val="CapoversoAtti"/>
        <w:spacing w:line="232" w:lineRule="exact"/>
      </w:pPr>
      <w:r w:rsidRPr="00CF2003">
        <w:t xml:space="preserve">– il Sig. … … … (nome e cognome) non è </w:t>
      </w:r>
      <w:r w:rsidR="00562A61" w:rsidRPr="00CF2003">
        <w:t>stato</w:t>
      </w:r>
      <w:r w:rsidRPr="00CF2003">
        <w:t xml:space="preserve"> condannato per uno dei reati ostativi indicati nell</w:t>
      </w:r>
      <w:r w:rsidR="00FA6E34" w:rsidRPr="00CF2003">
        <w:t>’</w:t>
      </w:r>
      <w:r w:rsidRPr="00CF2003">
        <w:t>art. 4</w:t>
      </w:r>
      <w:r w:rsidR="00CF2003" w:rsidRPr="00CF2003">
        <w:rPr>
          <w:i/>
        </w:rPr>
        <w:t>-</w:t>
      </w:r>
      <w:r w:rsidR="00562A61" w:rsidRPr="00CF2003">
        <w:rPr>
          <w:i/>
        </w:rPr>
        <w:t xml:space="preserve">bis </w:t>
      </w:r>
      <w:proofErr w:type="spellStart"/>
      <w:r w:rsidRPr="00CF2003">
        <w:t>ord</w:t>
      </w:r>
      <w:proofErr w:type="spellEnd"/>
      <w:r w:rsidRPr="00CF2003">
        <w:t xml:space="preserve">. </w:t>
      </w:r>
      <w:proofErr w:type="spellStart"/>
      <w:proofErr w:type="gramStart"/>
      <w:r w:rsidRPr="00CF2003">
        <w:t>penit</w:t>
      </w:r>
      <w:proofErr w:type="spellEnd"/>
      <w:r w:rsidRPr="00CF2003">
        <w:t>.;</w:t>
      </w:r>
      <w:proofErr w:type="gramEnd"/>
    </w:p>
    <w:p w:rsidR="002C49DA" w:rsidRPr="00CF2003" w:rsidRDefault="002C49DA" w:rsidP="00E512B9">
      <w:pPr>
        <w:pStyle w:val="CapoversoAtti"/>
        <w:spacing w:line="232" w:lineRule="exact"/>
      </w:pPr>
      <w:r w:rsidRPr="00CF2003">
        <w:t xml:space="preserve">– il Sig. … … … (nome e cognome) non è </w:t>
      </w:r>
      <w:r w:rsidR="00562A61" w:rsidRPr="00CF2003">
        <w:t>stato</w:t>
      </w:r>
      <w:r w:rsidRPr="00CF2003">
        <w:t xml:space="preserve"> condannato per il reato previsto dall</w:t>
      </w:r>
      <w:r w:rsidR="00FA6E34" w:rsidRPr="00CF2003">
        <w:t>’</w:t>
      </w:r>
      <w:r w:rsidRPr="00CF2003">
        <w:t xml:space="preserve">art. 385 </w:t>
      </w:r>
      <w:proofErr w:type="gramStart"/>
      <w:r w:rsidRPr="00CF2003">
        <w:t>c.p.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3"/>
      </w:r>
      <w:r w:rsidRPr="00CF2003">
        <w:t>;</w:t>
      </w:r>
      <w:proofErr w:type="gramEnd"/>
    </w:p>
    <w:p w:rsidR="00FA6E34" w:rsidRPr="00CF2003" w:rsidRDefault="002C49DA" w:rsidP="00E512B9">
      <w:pPr>
        <w:pStyle w:val="CapoversoAtti"/>
        <w:spacing w:line="232" w:lineRule="exact"/>
      </w:pPr>
      <w:r w:rsidRPr="00CF2003">
        <w:t>– nei confronti del Sig. … … … (nome e cognome) non è stata disposta la revoca di una misura alternativa ai sensi degli artt. 47, comma 11, 47</w:t>
      </w:r>
      <w:r w:rsidR="00CF2003" w:rsidRPr="00CF2003">
        <w:rPr>
          <w:i/>
        </w:rPr>
        <w:t>-</w:t>
      </w:r>
      <w:r w:rsidR="00562A61" w:rsidRPr="00CF2003">
        <w:rPr>
          <w:i/>
        </w:rPr>
        <w:t>ter</w:t>
      </w:r>
      <w:r w:rsidR="00562A61" w:rsidRPr="00CF2003">
        <w:t>,</w:t>
      </w:r>
      <w:r w:rsidRPr="00CF2003">
        <w:t xml:space="preserve"> comma 6, o 51, comma 1, </w:t>
      </w:r>
      <w:proofErr w:type="spellStart"/>
      <w:r w:rsidRPr="00CF2003">
        <w:t>ord</w:t>
      </w:r>
      <w:proofErr w:type="spellEnd"/>
      <w:r w:rsidRPr="00CF2003">
        <w:t xml:space="preserve">. </w:t>
      </w:r>
      <w:proofErr w:type="spellStart"/>
      <w:proofErr w:type="gramStart"/>
      <w:r w:rsidRPr="00CF2003">
        <w:t>penit</w:t>
      </w:r>
      <w:proofErr w:type="spellEnd"/>
      <w:proofErr w:type="gramEnd"/>
      <w:r w:rsidRPr="00CF2003">
        <w:t>.</w:t>
      </w:r>
      <w:r w:rsidRPr="00CF2003">
        <w:rPr>
          <w:snapToGrid w:val="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4"/>
      </w:r>
      <w:r w:rsidRPr="00CF2003">
        <w:t>;</w:t>
      </w:r>
    </w:p>
    <w:p w:rsidR="002C49DA" w:rsidRPr="00CF2003" w:rsidRDefault="002C49DA" w:rsidP="00B65062">
      <w:pPr>
        <w:pStyle w:val="CapoversoAtti"/>
      </w:pPr>
      <w:r w:rsidRPr="00CF2003">
        <w:lastRenderedPageBreak/>
        <w:t>– ricorrono tutti i presupposti e le condizioni previste dall</w:t>
      </w:r>
      <w:r w:rsidR="00FA6E34" w:rsidRPr="00CF2003">
        <w:t>’</w:t>
      </w:r>
      <w:r w:rsidRPr="00CF2003">
        <w:t>art. … … … dell</w:t>
      </w:r>
      <w:r w:rsidR="00FA6E34" w:rsidRPr="00CF2003">
        <w:t>’</w:t>
      </w:r>
      <w:r w:rsidRPr="00CF2003">
        <w:t>ordi</w:t>
      </w:r>
      <w:r w:rsidR="00E512B9" w:rsidRPr="00CF2003">
        <w:softHyphen/>
      </w:r>
      <w:r w:rsidRPr="00CF2003">
        <w:t>na</w:t>
      </w:r>
      <w:r w:rsidR="00E512B9" w:rsidRPr="00CF2003">
        <w:softHyphen/>
      </w:r>
      <w:r w:rsidRPr="00CF2003">
        <w:t xml:space="preserve">mento penitenziario e, in particolare: … … </w:t>
      </w:r>
      <w:proofErr w:type="gramStart"/>
      <w:r w:rsidRPr="00CF2003">
        <w:t>…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5"/>
      </w:r>
      <w:r w:rsidRPr="00CF2003">
        <w:t>;</w:t>
      </w:r>
      <w:proofErr w:type="gramEnd"/>
    </w:p>
    <w:p w:rsidR="002C49DA" w:rsidRPr="00CF2003" w:rsidRDefault="002C49DA" w:rsidP="00B65062">
      <w:pPr>
        <w:pStyle w:val="CapoversoAtti"/>
      </w:pPr>
      <w:r w:rsidRPr="00CF2003">
        <w:t xml:space="preserve">– il Sig. ... ... ... (nome e cognome) si impegna ad osservare tutte le prescrizioni del </w:t>
      </w:r>
      <w:r w:rsidR="00562A61" w:rsidRPr="00CF2003">
        <w:t>Tribunale</w:t>
      </w:r>
      <w:r w:rsidRPr="00CF2003">
        <w:t xml:space="preserve"> di sorveglianza;</w:t>
      </w:r>
    </w:p>
    <w:p w:rsidR="00FA6E34" w:rsidRPr="00CF2003" w:rsidRDefault="002C49DA" w:rsidP="00B65062">
      <w:pPr>
        <w:pStyle w:val="CapoversoAtti"/>
      </w:pPr>
      <w:proofErr w:type="gramStart"/>
      <w:r w:rsidRPr="00CF2003">
        <w:t>pertanto</w:t>
      </w:r>
      <w:proofErr w:type="gramEnd"/>
      <w:r w:rsidRPr="00CF2003">
        <w:t>,</w:t>
      </w:r>
    </w:p>
    <w:p w:rsidR="002C49DA" w:rsidRPr="00CF2003" w:rsidRDefault="002C49DA" w:rsidP="00B65062">
      <w:pPr>
        <w:pStyle w:val="CapoversoAtti"/>
      </w:pPr>
    </w:p>
    <w:p w:rsidR="002C49DA" w:rsidRPr="00CF2003" w:rsidRDefault="002C49DA" w:rsidP="00B65062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chiede</w:t>
      </w:r>
      <w:proofErr w:type="gramEnd"/>
    </w:p>
    <w:p w:rsidR="002C49DA" w:rsidRPr="00CF2003" w:rsidRDefault="002C49DA" w:rsidP="00B65062">
      <w:pPr>
        <w:pStyle w:val="CapoversoAtti"/>
      </w:pPr>
    </w:p>
    <w:p w:rsidR="002C49DA" w:rsidRPr="00CF2003" w:rsidRDefault="002C49DA" w:rsidP="00B65062">
      <w:pPr>
        <w:pStyle w:val="CapoversoAtti"/>
      </w:pPr>
      <w:proofErr w:type="gramStart"/>
      <w:r w:rsidRPr="00CF2003">
        <w:t>che</w:t>
      </w:r>
      <w:proofErr w:type="gramEnd"/>
      <w:r w:rsidRPr="00CF2003">
        <w:t xml:space="preserve"> il </w:t>
      </w:r>
      <w:r w:rsidR="00562A61" w:rsidRPr="00CF2003">
        <w:t>Tribunale</w:t>
      </w:r>
      <w:r w:rsidRPr="00CF2003">
        <w:t xml:space="preserve"> </w:t>
      </w:r>
      <w:r w:rsidR="00FA6E34" w:rsidRPr="00CF2003">
        <w:t xml:space="preserve"> </w:t>
      </w:r>
      <w:r w:rsidRPr="00CF2003">
        <w:t>ammetta il Sig. … … … (nome e cognome) al … … …</w:t>
      </w:r>
    </w:p>
    <w:p w:rsidR="002C49DA" w:rsidRPr="00CF2003" w:rsidRDefault="002C49DA" w:rsidP="002C49DA">
      <w:pPr>
        <w:pStyle w:val="CapoversoAtti"/>
        <w:rPr>
          <w:iCs/>
        </w:rPr>
      </w:pPr>
      <w:r w:rsidRPr="00CF2003">
        <w:rPr>
          <w:iCs/>
        </w:rPr>
        <w:t>Si allegano i seguenti documenti:</w:t>
      </w:r>
    </w:p>
    <w:p w:rsidR="002C49DA" w:rsidRPr="00CF2003" w:rsidRDefault="002C49DA" w:rsidP="00B65062">
      <w:pPr>
        <w:pStyle w:val="CapoversoAtti"/>
      </w:pPr>
      <w:r w:rsidRPr="00CF2003">
        <w:t>… … …</w:t>
      </w:r>
    </w:p>
    <w:p w:rsidR="00FA6E34" w:rsidRPr="00CF2003" w:rsidRDefault="002C49DA" w:rsidP="00B65062">
      <w:pPr>
        <w:pStyle w:val="CapoversoAtti"/>
      </w:pPr>
      <w:r w:rsidRPr="00CF2003">
        <w:t>… … …</w:t>
      </w:r>
    </w:p>
    <w:p w:rsidR="002C49DA" w:rsidRPr="00CF2003" w:rsidRDefault="002C49DA" w:rsidP="00B65062">
      <w:pPr>
        <w:pStyle w:val="CapoversoAtti"/>
      </w:pPr>
    </w:p>
    <w:p w:rsidR="002C49DA" w:rsidRPr="00CF2003" w:rsidRDefault="002C49DA" w:rsidP="00B65062">
      <w:pPr>
        <w:pStyle w:val="CapoversoAtti"/>
      </w:pPr>
      <w:r w:rsidRPr="00CF2003">
        <w:t>Luogo e data</w:t>
      </w:r>
    </w:p>
    <w:p w:rsidR="002C49DA" w:rsidRPr="00CF2003" w:rsidRDefault="002C49DA" w:rsidP="00B65062">
      <w:pPr>
        <w:pStyle w:val="CapoversoAtti"/>
        <w:jc w:val="right"/>
      </w:pPr>
      <w:r w:rsidRPr="00CF2003">
        <w:t>Sottoscrizione del difensore</w:t>
      </w:r>
      <w:bookmarkStart w:id="0" w:name="_GoBack"/>
      <w:bookmarkEnd w:id="0"/>
    </w:p>
    <w:sectPr w:rsidR="002C49DA" w:rsidRPr="00CF2003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color w:val="000000"/>
          <w:u w:color="000000"/>
        </w:rPr>
        <w:t> </w:t>
      </w:r>
      <w:r w:rsidRPr="00B5356D">
        <w:t xml:space="preserve">Tale dichiarazione è prevista, a pena di inammissibilità, e deve essere sottoscritta personalmente se l’interessato non è detenuto. </w:t>
      </w:r>
    </w:p>
  </w:footnote>
  <w:footnote w:id="2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>Nel caso in cui il condannato richieda l’affidamento in prova al servizio sociale i limiti di pena da tenere in considerazione sono quelli indicati dall’art. 47, commi 1 e 3</w:t>
      </w:r>
      <w:r w:rsidR="00E236F3" w:rsidRPr="00B5356D">
        <w:rPr>
          <w:i/>
        </w:rPr>
        <w:t>-</w:t>
      </w:r>
      <w:r w:rsidR="00C15C01" w:rsidRPr="00B5356D">
        <w:rPr>
          <w:i/>
        </w:rPr>
        <w:t>bis</w:t>
      </w:r>
      <w:r w:rsidR="00C15C01" w:rsidRPr="00B5356D">
        <w:t>,</w:t>
      </w:r>
      <w:r w:rsidRPr="00B5356D">
        <w:t xml:space="preserve"> </w:t>
      </w:r>
      <w:proofErr w:type="spellStart"/>
      <w:r w:rsidRPr="00B5356D">
        <w:rPr>
          <w:iCs/>
        </w:rPr>
        <w:t>ord</w:t>
      </w:r>
      <w:proofErr w:type="spellEnd"/>
      <w:r w:rsidRPr="00B5356D">
        <w:rPr>
          <w:iCs/>
        </w:rPr>
        <w:t xml:space="preserve">. </w:t>
      </w:r>
      <w:proofErr w:type="spellStart"/>
      <w:proofErr w:type="gramStart"/>
      <w:r w:rsidRPr="00B5356D">
        <w:rPr>
          <w:iCs/>
        </w:rPr>
        <w:t>penit</w:t>
      </w:r>
      <w:proofErr w:type="spellEnd"/>
      <w:r w:rsidRPr="00B5356D">
        <w:rPr>
          <w:iCs/>
        </w:rPr>
        <w:t>.</w:t>
      </w:r>
      <w:r w:rsidRPr="00B5356D">
        <w:t>;</w:t>
      </w:r>
      <w:proofErr w:type="gramEnd"/>
      <w:r w:rsidRPr="00B5356D">
        <w:t xml:space="preserve"> dall’art. 94, </w:t>
      </w:r>
      <w:proofErr w:type="spellStart"/>
      <w:r w:rsidRPr="00B5356D">
        <w:t>d.p.r.</w:t>
      </w:r>
      <w:proofErr w:type="spellEnd"/>
      <w:r w:rsidRPr="00B5356D">
        <w:t xml:space="preserve"> 9 ottobre 1990, n. 309, nel caso di condannati tossico o </w:t>
      </w:r>
      <w:proofErr w:type="spellStart"/>
      <w:r w:rsidRPr="00B5356D">
        <w:t>alcooldipendenti</w:t>
      </w:r>
      <w:proofErr w:type="spellEnd"/>
      <w:r w:rsidRPr="00B5356D">
        <w:t>; nel caso in cui il condannato intenda richiedere la detenzione domiciliare, dovrà aversi riguardo ai limiti di pena di cui al</w:t>
      </w:r>
      <w:r w:rsidRPr="00B5356D">
        <w:softHyphen/>
        <w:t>l’art. 47</w:t>
      </w:r>
      <w:r w:rsidR="00E236F3" w:rsidRPr="00B5356D">
        <w:rPr>
          <w:i/>
        </w:rPr>
        <w:t>-</w:t>
      </w:r>
      <w:r w:rsidR="00C15C01" w:rsidRPr="00B5356D">
        <w:rPr>
          <w:i/>
          <w:iCs/>
        </w:rPr>
        <w:t>ter</w:t>
      </w:r>
      <w:r w:rsidR="00073FEC" w:rsidRPr="00B5356D">
        <w:t>,</w:t>
      </w:r>
      <w:r w:rsidRPr="00B5356D">
        <w:t xml:space="preserve"> commi 01, 1, 1</w:t>
      </w:r>
      <w:r w:rsidR="00B5356D" w:rsidRPr="00B5356D">
        <w:rPr>
          <w:i/>
        </w:rPr>
        <w:t>-</w:t>
      </w:r>
      <w:r w:rsidR="00C15C01" w:rsidRPr="00B5356D">
        <w:rPr>
          <w:i/>
          <w:iCs/>
        </w:rPr>
        <w:t>bis</w:t>
      </w:r>
      <w:r w:rsidR="00C15C01" w:rsidRPr="00B5356D">
        <w:rPr>
          <w:i/>
        </w:rPr>
        <w:t xml:space="preserve"> </w:t>
      </w:r>
      <w:r w:rsidRPr="00B5356D">
        <w:t>e 1</w:t>
      </w:r>
      <w:r w:rsidR="00B5356D" w:rsidRPr="00B5356D">
        <w:rPr>
          <w:i/>
        </w:rPr>
        <w:t>-</w:t>
      </w:r>
      <w:r w:rsidR="00C15C01" w:rsidRPr="00B5356D">
        <w:rPr>
          <w:i/>
          <w:iCs/>
        </w:rPr>
        <w:t>ter</w:t>
      </w:r>
      <w:r w:rsidR="00073FEC" w:rsidRPr="00B5356D">
        <w:t>,</w:t>
      </w:r>
      <w:r w:rsidRPr="00B5356D">
        <w:t xml:space="preserve"> </w:t>
      </w:r>
      <w:proofErr w:type="spellStart"/>
      <w:r w:rsidRPr="00B5356D">
        <w:rPr>
          <w:iCs/>
        </w:rPr>
        <w:t>ord</w:t>
      </w:r>
      <w:proofErr w:type="spellEnd"/>
      <w:r w:rsidRPr="00B5356D">
        <w:rPr>
          <w:iCs/>
        </w:rPr>
        <w:t xml:space="preserve">. </w:t>
      </w:r>
      <w:proofErr w:type="spellStart"/>
      <w:proofErr w:type="gramStart"/>
      <w:r w:rsidRPr="00B5356D">
        <w:rPr>
          <w:iCs/>
        </w:rPr>
        <w:t>penit</w:t>
      </w:r>
      <w:proofErr w:type="spellEnd"/>
      <w:r w:rsidRPr="00B5356D">
        <w:rPr>
          <w:iCs/>
        </w:rPr>
        <w:t>.</w:t>
      </w:r>
      <w:r w:rsidRPr="00B5356D">
        <w:t>;</w:t>
      </w:r>
      <w:proofErr w:type="gramEnd"/>
      <w:r w:rsidRPr="00B5356D">
        <w:t xml:space="preserve"> nel caso in cui un condannato affetto da AIDS conclamata o da grave deficienza immunitaria intenda richiedere l’affidamento in prova al servizio sociale o la detenzione domiciliare, dovranno considerarsi i requisiti stabiliti dall’art. 47</w:t>
      </w:r>
      <w:r w:rsidR="00B5356D" w:rsidRPr="00B5356D">
        <w:rPr>
          <w:i/>
        </w:rPr>
        <w:t>-</w:t>
      </w:r>
      <w:r w:rsidR="00C15C01" w:rsidRPr="00B5356D">
        <w:rPr>
          <w:i/>
          <w:iCs/>
        </w:rPr>
        <w:t>quater</w:t>
      </w:r>
      <w:r w:rsidR="00C15C01" w:rsidRPr="00B5356D">
        <w:rPr>
          <w:i/>
        </w:rPr>
        <w:t xml:space="preserve"> </w:t>
      </w:r>
      <w:proofErr w:type="spellStart"/>
      <w:r w:rsidRPr="00B5356D">
        <w:rPr>
          <w:iCs/>
        </w:rPr>
        <w:t>ord</w:t>
      </w:r>
      <w:proofErr w:type="spellEnd"/>
      <w:r w:rsidRPr="00B5356D">
        <w:rPr>
          <w:iCs/>
        </w:rPr>
        <w:t xml:space="preserve">. </w:t>
      </w:r>
      <w:proofErr w:type="spellStart"/>
      <w:proofErr w:type="gramStart"/>
      <w:r w:rsidRPr="00B5356D">
        <w:rPr>
          <w:iCs/>
        </w:rPr>
        <w:t>penit</w:t>
      </w:r>
      <w:proofErr w:type="spellEnd"/>
      <w:r w:rsidRPr="00B5356D">
        <w:rPr>
          <w:iCs/>
        </w:rPr>
        <w:t>.</w:t>
      </w:r>
      <w:r w:rsidRPr="00B5356D">
        <w:t>;</w:t>
      </w:r>
      <w:proofErr w:type="gramEnd"/>
      <w:r w:rsidRPr="00B5356D">
        <w:t xml:space="preserve"> per quanto riguarda le detenute madri ovvero i condannati padri, i limiti di pena sono quelli descritti dall’art. 47</w:t>
      </w:r>
      <w:r w:rsidR="00B5356D" w:rsidRPr="00B5356D">
        <w:rPr>
          <w:i/>
        </w:rPr>
        <w:t>-</w:t>
      </w:r>
      <w:r w:rsidR="00C15C01" w:rsidRPr="00B5356D">
        <w:rPr>
          <w:i/>
          <w:iCs/>
        </w:rPr>
        <w:t>quinquies</w:t>
      </w:r>
      <w:r w:rsidR="00C15C01" w:rsidRPr="00B5356D">
        <w:rPr>
          <w:i/>
        </w:rPr>
        <w:t xml:space="preserve"> </w:t>
      </w:r>
      <w:proofErr w:type="spellStart"/>
      <w:r w:rsidRPr="00B5356D">
        <w:rPr>
          <w:iCs/>
        </w:rPr>
        <w:t>ord</w:t>
      </w:r>
      <w:proofErr w:type="spellEnd"/>
      <w:r w:rsidRPr="00B5356D">
        <w:rPr>
          <w:iCs/>
        </w:rPr>
        <w:t xml:space="preserve">. </w:t>
      </w:r>
      <w:proofErr w:type="spellStart"/>
      <w:proofErr w:type="gramStart"/>
      <w:r w:rsidRPr="00B5356D">
        <w:rPr>
          <w:iCs/>
        </w:rPr>
        <w:t>penit</w:t>
      </w:r>
      <w:proofErr w:type="spellEnd"/>
      <w:r w:rsidRPr="00B5356D">
        <w:rPr>
          <w:iCs/>
        </w:rPr>
        <w:t>.</w:t>
      </w:r>
      <w:r w:rsidRPr="00B5356D">
        <w:t>;</w:t>
      </w:r>
      <w:proofErr w:type="gramEnd"/>
      <w:r w:rsidRPr="00B5356D">
        <w:t xml:space="preserve"> se il condannato intende essere ammesso al regime di semilibertà, dovranno considerarsi le previsioni di cui all’art. 50 </w:t>
      </w:r>
      <w:proofErr w:type="spellStart"/>
      <w:r w:rsidRPr="00B5356D">
        <w:rPr>
          <w:iCs/>
        </w:rPr>
        <w:t>ord</w:t>
      </w:r>
      <w:proofErr w:type="spellEnd"/>
      <w:r w:rsidRPr="00B5356D">
        <w:rPr>
          <w:iCs/>
        </w:rPr>
        <w:t xml:space="preserve">. </w:t>
      </w:r>
      <w:proofErr w:type="spellStart"/>
      <w:proofErr w:type="gramStart"/>
      <w:r w:rsidRPr="00B5356D">
        <w:rPr>
          <w:iCs/>
        </w:rPr>
        <w:t>penit</w:t>
      </w:r>
      <w:proofErr w:type="spellEnd"/>
      <w:r w:rsidRPr="00B5356D">
        <w:rPr>
          <w:iCs/>
        </w:rPr>
        <w:t>.</w:t>
      </w:r>
      <w:r w:rsidRPr="00B5356D">
        <w:t>;</w:t>
      </w:r>
      <w:proofErr w:type="gramEnd"/>
      <w:r w:rsidRPr="00B5356D">
        <w:t xml:space="preserve"> per quanto riguarda i </w:t>
      </w:r>
      <w:r w:rsidRPr="00B5356D">
        <w:rPr>
          <w:color w:val="000000"/>
        </w:rPr>
        <w:t>condannati per i delitti di cui agli artt. 289</w:t>
      </w:r>
      <w:r w:rsidR="00B5356D" w:rsidRPr="00B5356D">
        <w:rPr>
          <w:i/>
          <w:color w:val="000000"/>
        </w:rPr>
        <w:t>-</w:t>
      </w:r>
      <w:r w:rsidR="00C15C01" w:rsidRPr="00B5356D">
        <w:rPr>
          <w:i/>
          <w:iCs/>
          <w:color w:val="000000"/>
        </w:rPr>
        <w:t>bis</w:t>
      </w:r>
      <w:r w:rsidR="00C15C01" w:rsidRPr="00B5356D">
        <w:rPr>
          <w:i/>
          <w:color w:val="000000"/>
        </w:rPr>
        <w:t xml:space="preserve"> </w:t>
      </w:r>
      <w:r w:rsidRPr="00B5356D">
        <w:rPr>
          <w:color w:val="000000"/>
        </w:rPr>
        <w:t>e 630 c.p., che abbiano cagionato la morte del sequestrato, dovrà aversi riguardo ai limiti di pena stabiliti dall’art. 58</w:t>
      </w:r>
      <w:r w:rsidR="00B5356D" w:rsidRPr="00B5356D">
        <w:rPr>
          <w:i/>
          <w:color w:val="000000"/>
        </w:rPr>
        <w:t>-</w:t>
      </w:r>
      <w:r w:rsidR="00C15C01" w:rsidRPr="00B5356D">
        <w:rPr>
          <w:i/>
          <w:iCs/>
          <w:color w:val="000000"/>
        </w:rPr>
        <w:t>quater</w:t>
      </w:r>
      <w:r w:rsidR="00073FEC" w:rsidRPr="00B5356D">
        <w:rPr>
          <w:color w:val="000000"/>
        </w:rPr>
        <w:t>,</w:t>
      </w:r>
      <w:r w:rsidRPr="00B5356D">
        <w:rPr>
          <w:i/>
          <w:iCs/>
          <w:color w:val="000000"/>
        </w:rPr>
        <w:t xml:space="preserve"> </w:t>
      </w:r>
      <w:r w:rsidRPr="00B5356D">
        <w:rPr>
          <w:color w:val="000000"/>
        </w:rPr>
        <w:t xml:space="preserve">comma 4, </w:t>
      </w:r>
      <w:proofErr w:type="spellStart"/>
      <w:r w:rsidRPr="00B5356D">
        <w:rPr>
          <w:iCs/>
        </w:rPr>
        <w:t>ord</w:t>
      </w:r>
      <w:proofErr w:type="spellEnd"/>
      <w:r w:rsidRPr="00B5356D">
        <w:rPr>
          <w:iCs/>
        </w:rPr>
        <w:t xml:space="preserve">. </w:t>
      </w:r>
      <w:proofErr w:type="spellStart"/>
      <w:proofErr w:type="gramStart"/>
      <w:r w:rsidRPr="00B5356D">
        <w:rPr>
          <w:iCs/>
        </w:rPr>
        <w:t>penit</w:t>
      </w:r>
      <w:proofErr w:type="spellEnd"/>
      <w:proofErr w:type="gramEnd"/>
      <w:r w:rsidRPr="00B5356D">
        <w:rPr>
          <w:iCs/>
        </w:rPr>
        <w:t>.</w:t>
      </w:r>
      <w:r w:rsidRPr="00B5356D">
        <w:rPr>
          <w:color w:val="000000"/>
        </w:rPr>
        <w:t xml:space="preserve"> </w:t>
      </w:r>
    </w:p>
  </w:footnote>
  <w:footnote w:id="3">
    <w:p w:rsidR="00E77D82" w:rsidRPr="00B5356D" w:rsidRDefault="00E77D82" w:rsidP="00A9047F">
      <w:pPr>
        <w:pStyle w:val="Notaapipagina"/>
      </w:pPr>
      <w:r w:rsidRPr="00B5356D">
        <w:rPr>
          <w:rStyle w:val="Rimandonotaapidipagina"/>
        </w:rPr>
        <w:footnoteRef/>
      </w:r>
      <w:r w:rsidR="00D925C4" w:rsidRPr="00B5356D">
        <w:t> </w:t>
      </w:r>
      <w:r w:rsidRPr="00B5356D">
        <w:t>Se il condannato si è reso responsabile del reato evasione, devono essere trascorsi tre anni dal momento in cui è ripresa l’esecuzione della custodia o della pena ai fini della proposizione della richiesta di misura alternativa alla detenzione.</w:t>
      </w:r>
    </w:p>
  </w:footnote>
  <w:footnote w:id="4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>In ogni caso, se è stato emesso il provvedimento di revoca, occorre il decorso di tre anni ai fini della valida proposizione della richiesta di ammissione a misura alternativa alla detenzione.</w:t>
      </w:r>
    </w:p>
  </w:footnote>
  <w:footnote w:id="5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Per quanto riguarda, in particolare, l’affidamento in prova ordinario, i presupposti necessari sono elencati dall’art. 47 </w:t>
      </w:r>
      <w:proofErr w:type="spellStart"/>
      <w:r w:rsidRPr="00B5356D">
        <w:rPr>
          <w:iCs/>
        </w:rPr>
        <w:t>ord</w:t>
      </w:r>
      <w:proofErr w:type="spellEnd"/>
      <w:r w:rsidRPr="00B5356D">
        <w:rPr>
          <w:iCs/>
        </w:rPr>
        <w:t xml:space="preserve">. </w:t>
      </w:r>
      <w:proofErr w:type="spellStart"/>
      <w:proofErr w:type="gramStart"/>
      <w:r w:rsidRPr="00B5356D">
        <w:rPr>
          <w:iCs/>
        </w:rPr>
        <w:t>penit</w:t>
      </w:r>
      <w:proofErr w:type="spellEnd"/>
      <w:proofErr w:type="gramEnd"/>
      <w:r w:rsidRPr="00B5356D">
        <w:rPr>
          <w:iCs/>
        </w:rPr>
        <w:t>.</w:t>
      </w:r>
      <w:r w:rsidRPr="00B5356D">
        <w:t xml:space="preserve"> </w:t>
      </w:r>
      <w:proofErr w:type="gramStart"/>
      <w:r w:rsidRPr="00B5356D">
        <w:t>che</w:t>
      </w:r>
      <w:proofErr w:type="gramEnd"/>
      <w:r w:rsidRPr="00B5356D">
        <w:t>, ai commi 2, 3 e 3</w:t>
      </w:r>
      <w:r w:rsidR="00B5356D" w:rsidRPr="00B5356D">
        <w:rPr>
          <w:i/>
        </w:rPr>
        <w:t>-</w:t>
      </w:r>
      <w:r w:rsidR="00C15C01" w:rsidRPr="00B5356D">
        <w:rPr>
          <w:i/>
        </w:rPr>
        <w:t xml:space="preserve">bis </w:t>
      </w:r>
      <w:r w:rsidRPr="00B5356D">
        <w:t>indica le modalità e la durata dell’osser</w:t>
      </w:r>
      <w:r w:rsidRPr="00B5356D">
        <w:softHyphen/>
        <w:t>vazione della personalità. I presupposti oggettivi e soggettivi della detenzione domiciliare sono contenuti nell’art. 47</w:t>
      </w:r>
      <w:r w:rsidR="00B5356D" w:rsidRPr="00B5356D">
        <w:rPr>
          <w:i/>
        </w:rPr>
        <w:t>-</w:t>
      </w:r>
      <w:r w:rsidR="00C15C01" w:rsidRPr="00B5356D">
        <w:rPr>
          <w:i/>
          <w:iCs/>
        </w:rPr>
        <w:t>ter</w:t>
      </w:r>
      <w:r w:rsidR="00C15C01" w:rsidRPr="00B5356D">
        <w:rPr>
          <w:i/>
        </w:rPr>
        <w:t xml:space="preserve"> </w:t>
      </w:r>
      <w:proofErr w:type="spellStart"/>
      <w:r w:rsidRPr="00B5356D">
        <w:rPr>
          <w:iCs/>
        </w:rPr>
        <w:t>ord</w:t>
      </w:r>
      <w:proofErr w:type="spellEnd"/>
      <w:r w:rsidRPr="00B5356D">
        <w:rPr>
          <w:iCs/>
        </w:rPr>
        <w:t xml:space="preserve">. </w:t>
      </w:r>
      <w:proofErr w:type="spellStart"/>
      <w:proofErr w:type="gramStart"/>
      <w:r w:rsidRPr="00B5356D">
        <w:rPr>
          <w:iCs/>
        </w:rPr>
        <w:t>penit</w:t>
      </w:r>
      <w:proofErr w:type="spellEnd"/>
      <w:r w:rsidRPr="00B5356D">
        <w:rPr>
          <w:iCs/>
        </w:rPr>
        <w:t>.</w:t>
      </w:r>
      <w:r w:rsidRPr="00B5356D">
        <w:t>,</w:t>
      </w:r>
      <w:proofErr w:type="gramEnd"/>
      <w:r w:rsidRPr="00B5356D">
        <w:t xml:space="preserve"> che disciplina le varie forme della misura alternativa. L’art. 47</w:t>
      </w:r>
      <w:r w:rsidR="00B5356D" w:rsidRPr="00B5356D">
        <w:rPr>
          <w:i/>
        </w:rPr>
        <w:t>-</w:t>
      </w:r>
      <w:r w:rsidR="00C15C01" w:rsidRPr="00B5356D">
        <w:rPr>
          <w:i/>
          <w:iCs/>
        </w:rPr>
        <w:t xml:space="preserve">quater </w:t>
      </w:r>
      <w:proofErr w:type="spellStart"/>
      <w:r w:rsidRPr="00B5356D">
        <w:rPr>
          <w:iCs/>
        </w:rPr>
        <w:t>ord</w:t>
      </w:r>
      <w:proofErr w:type="spellEnd"/>
      <w:r w:rsidRPr="00B5356D">
        <w:rPr>
          <w:iCs/>
        </w:rPr>
        <w:t xml:space="preserve">. </w:t>
      </w:r>
      <w:proofErr w:type="spellStart"/>
      <w:proofErr w:type="gramStart"/>
      <w:r w:rsidRPr="00B5356D">
        <w:rPr>
          <w:iCs/>
        </w:rPr>
        <w:t>penit</w:t>
      </w:r>
      <w:proofErr w:type="spellEnd"/>
      <w:proofErr w:type="gramEnd"/>
      <w:r w:rsidRPr="00B5356D">
        <w:rPr>
          <w:iCs/>
        </w:rPr>
        <w:t>.</w:t>
      </w:r>
      <w:r w:rsidRPr="00B5356D">
        <w:t xml:space="preserve"> </w:t>
      </w:r>
      <w:proofErr w:type="gramStart"/>
      <w:r w:rsidRPr="00B5356D">
        <w:t>indica</w:t>
      </w:r>
      <w:proofErr w:type="gramEnd"/>
      <w:r w:rsidRPr="00B5356D">
        <w:t>, invece, i requisiti per l’ammissione a misura alternativa alla detenzione dei soggetti affetti da AIDS conclamata o da grave deficienza immunitaria. Ancora, l’art. 47</w:t>
      </w:r>
      <w:r w:rsidR="00B5356D" w:rsidRPr="00B5356D">
        <w:rPr>
          <w:i/>
        </w:rPr>
        <w:t>-</w:t>
      </w:r>
      <w:r w:rsidR="00C15C01" w:rsidRPr="00B5356D">
        <w:rPr>
          <w:i/>
          <w:iCs/>
        </w:rPr>
        <w:t>quinquies</w:t>
      </w:r>
      <w:r w:rsidR="00C15C01" w:rsidRPr="00B5356D">
        <w:rPr>
          <w:i/>
        </w:rPr>
        <w:t xml:space="preserve"> </w:t>
      </w:r>
      <w:proofErr w:type="spellStart"/>
      <w:r w:rsidRPr="00B5356D">
        <w:rPr>
          <w:iCs/>
        </w:rPr>
        <w:t>ord</w:t>
      </w:r>
      <w:proofErr w:type="spellEnd"/>
      <w:r w:rsidRPr="00B5356D">
        <w:rPr>
          <w:iCs/>
        </w:rPr>
        <w:t xml:space="preserve">. </w:t>
      </w:r>
      <w:proofErr w:type="spellStart"/>
      <w:proofErr w:type="gramStart"/>
      <w:r w:rsidRPr="00B5356D">
        <w:rPr>
          <w:iCs/>
        </w:rPr>
        <w:t>penit</w:t>
      </w:r>
      <w:proofErr w:type="spellEnd"/>
      <w:proofErr w:type="gramEnd"/>
      <w:r w:rsidRPr="00B5356D">
        <w:rPr>
          <w:iCs/>
        </w:rPr>
        <w:t>.</w:t>
      </w:r>
      <w:r w:rsidRPr="00B5356D">
        <w:t xml:space="preserve"> </w:t>
      </w:r>
      <w:proofErr w:type="gramStart"/>
      <w:r w:rsidRPr="00B5356D">
        <w:t>disciplina</w:t>
      </w:r>
      <w:proofErr w:type="gramEnd"/>
      <w:r w:rsidRPr="00B5356D">
        <w:t xml:space="preserve"> la detenzione domiciliare speciale per le condannate madri ovvero per i condannati padri, indicandone i rispettivi requisiti. L’art. 50 </w:t>
      </w:r>
      <w:proofErr w:type="spellStart"/>
      <w:r w:rsidRPr="00B5356D">
        <w:rPr>
          <w:iCs/>
        </w:rPr>
        <w:t>ord</w:t>
      </w:r>
      <w:proofErr w:type="spellEnd"/>
      <w:r w:rsidRPr="00B5356D">
        <w:rPr>
          <w:iCs/>
        </w:rPr>
        <w:t xml:space="preserve">. </w:t>
      </w:r>
      <w:proofErr w:type="spellStart"/>
      <w:proofErr w:type="gramStart"/>
      <w:r w:rsidRPr="00B5356D">
        <w:rPr>
          <w:iCs/>
        </w:rPr>
        <w:t>penit</w:t>
      </w:r>
      <w:proofErr w:type="spellEnd"/>
      <w:proofErr w:type="gramEnd"/>
      <w:r w:rsidRPr="00B5356D">
        <w:rPr>
          <w:iCs/>
        </w:rPr>
        <w:t>.</w:t>
      </w:r>
      <w:r w:rsidRPr="00B5356D">
        <w:t xml:space="preserve"> </w:t>
      </w:r>
      <w:proofErr w:type="gramStart"/>
      <w:r w:rsidRPr="00B5356D">
        <w:t>stabilisce</w:t>
      </w:r>
      <w:proofErr w:type="gramEnd"/>
      <w:r w:rsidRPr="00B5356D">
        <w:t xml:space="preserve"> i requisiti soggettivi ed oggettivi per l’ammissione al regime di semilibertà. L’art. 94, </w:t>
      </w:r>
      <w:proofErr w:type="spellStart"/>
      <w:r w:rsidRPr="00B5356D">
        <w:t>d.p.r.</w:t>
      </w:r>
      <w:proofErr w:type="spellEnd"/>
      <w:r w:rsidRPr="00B5356D">
        <w:t xml:space="preserve"> n. 309 del 1990 indica, infine, i requisiti dell’affidamento in prova in casi particolari, ovvero per tossicodipendenti o </w:t>
      </w:r>
      <w:proofErr w:type="spellStart"/>
      <w:r w:rsidRPr="00B5356D">
        <w:t>alcooldipendenti</w:t>
      </w:r>
      <w:proofErr w:type="spellEnd"/>
      <w:r w:rsidRPr="00B5356D">
        <w:t xml:space="preserve"> che hanno in corso un programma di recupero o che ad esso intendano sottoporsi. Ai sensi dell’art. 58</w:t>
      </w:r>
      <w:r w:rsidR="00B5356D" w:rsidRPr="00B5356D">
        <w:rPr>
          <w:i/>
        </w:rPr>
        <w:t>-</w:t>
      </w:r>
      <w:r w:rsidR="00C15C01" w:rsidRPr="00B5356D">
        <w:rPr>
          <w:i/>
          <w:iCs/>
        </w:rPr>
        <w:t>quater</w:t>
      </w:r>
      <w:r w:rsidR="00073FEC" w:rsidRPr="00B5356D">
        <w:t>,</w:t>
      </w:r>
      <w:r w:rsidRPr="00B5356D">
        <w:rPr>
          <w:i/>
          <w:iCs/>
        </w:rPr>
        <w:t xml:space="preserve"> </w:t>
      </w:r>
      <w:r w:rsidRPr="00B5356D">
        <w:t>comma 7</w:t>
      </w:r>
      <w:r w:rsidR="00B5356D" w:rsidRPr="00B5356D">
        <w:rPr>
          <w:i/>
        </w:rPr>
        <w:t>-</w:t>
      </w:r>
      <w:r w:rsidR="00C15C01" w:rsidRPr="00B5356D">
        <w:rPr>
          <w:i/>
          <w:iCs/>
        </w:rPr>
        <w:t>bis</w:t>
      </w:r>
      <w:r w:rsidR="00073FEC" w:rsidRPr="00B5356D">
        <w:t>,</w:t>
      </w:r>
      <w:r w:rsidRPr="00B5356D">
        <w:t xml:space="preserve"> </w:t>
      </w:r>
      <w:proofErr w:type="spellStart"/>
      <w:r w:rsidRPr="00B5356D">
        <w:rPr>
          <w:iCs/>
        </w:rPr>
        <w:t>ord</w:t>
      </w:r>
      <w:proofErr w:type="spellEnd"/>
      <w:r w:rsidRPr="00B5356D">
        <w:rPr>
          <w:iCs/>
        </w:rPr>
        <w:t xml:space="preserve">. </w:t>
      </w:r>
      <w:proofErr w:type="spellStart"/>
      <w:proofErr w:type="gramStart"/>
      <w:r w:rsidRPr="00B5356D">
        <w:rPr>
          <w:iCs/>
        </w:rPr>
        <w:t>penit</w:t>
      </w:r>
      <w:proofErr w:type="spellEnd"/>
      <w:proofErr w:type="gramEnd"/>
      <w:r w:rsidRPr="00B5356D">
        <w:rPr>
          <w:iCs/>
        </w:rPr>
        <w:t>.</w:t>
      </w:r>
      <w:r w:rsidRPr="00B5356D">
        <w:t xml:space="preserve"> </w:t>
      </w:r>
      <w:proofErr w:type="gramStart"/>
      <w:r w:rsidRPr="00B5356D">
        <w:t>l’affidamento</w:t>
      </w:r>
      <w:proofErr w:type="gramEnd"/>
      <w:r w:rsidRPr="00B5356D">
        <w:t xml:space="preserve"> in prova ordinario, la detenzione domiciliare e la semilibertà non possono essere concessi più di una volta al condannato al quale sia stata applicata la recidiva prevista dall’art. 99, comma 4, c.p. C. </w:t>
      </w:r>
      <w:proofErr w:type="spellStart"/>
      <w:r w:rsidRPr="00B5356D">
        <w:t>cost</w:t>
      </w:r>
      <w:proofErr w:type="spellEnd"/>
      <w:r w:rsidRPr="00B5356D">
        <w:t>. n. 350 del 2003, ha sancito l’illegittimità costituzionale dell’art. 47</w:t>
      </w:r>
      <w:r w:rsidR="00B5356D" w:rsidRPr="00B5356D">
        <w:rPr>
          <w:i/>
        </w:rPr>
        <w:t>-</w:t>
      </w:r>
      <w:r w:rsidR="00C15C01" w:rsidRPr="00B5356D">
        <w:rPr>
          <w:i/>
          <w:iCs/>
        </w:rPr>
        <w:t>ter</w:t>
      </w:r>
      <w:r w:rsidR="00073FEC" w:rsidRPr="00B5356D">
        <w:t>,</w:t>
      </w:r>
      <w:r w:rsidRPr="00B5356D">
        <w:t xml:space="preserve"> comma 1, </w:t>
      </w:r>
      <w:proofErr w:type="spellStart"/>
      <w:r w:rsidRPr="00B5356D">
        <w:t>lett</w:t>
      </w:r>
      <w:proofErr w:type="spellEnd"/>
      <w:r w:rsidRPr="00B5356D">
        <w:t xml:space="preserve">. </w:t>
      </w:r>
      <w:r w:rsidRPr="00B5356D">
        <w:rPr>
          <w:i/>
          <w:iCs/>
        </w:rPr>
        <w:t>a</w:t>
      </w:r>
      <w:r w:rsidRPr="00B5356D">
        <w:rPr>
          <w:iCs/>
        </w:rPr>
        <w:t>)</w:t>
      </w:r>
      <w:r w:rsidRPr="00B5356D">
        <w:t xml:space="preserve">, </w:t>
      </w:r>
      <w:proofErr w:type="spellStart"/>
      <w:r w:rsidRPr="00B5356D">
        <w:rPr>
          <w:iCs/>
        </w:rPr>
        <w:t>ord</w:t>
      </w:r>
      <w:proofErr w:type="spellEnd"/>
      <w:r w:rsidRPr="00B5356D">
        <w:rPr>
          <w:iCs/>
        </w:rPr>
        <w:t xml:space="preserve">. </w:t>
      </w:r>
      <w:proofErr w:type="spellStart"/>
      <w:r w:rsidRPr="00B5356D">
        <w:rPr>
          <w:iCs/>
        </w:rPr>
        <w:t>penit</w:t>
      </w:r>
      <w:proofErr w:type="spellEnd"/>
      <w:r w:rsidRPr="00B5356D">
        <w:rPr>
          <w:iCs/>
        </w:rPr>
        <w:t>.</w:t>
      </w:r>
      <w:r w:rsidRPr="00B5356D">
        <w:t xml:space="preserve">, nella parte in cui non prevede la concessione della detenzione domiciliare anche nei confronti della madre condannata, e, nei casi previsti dal comma 1, </w:t>
      </w:r>
      <w:proofErr w:type="spellStart"/>
      <w:r w:rsidRPr="00B5356D">
        <w:t>lett</w:t>
      </w:r>
      <w:proofErr w:type="spellEnd"/>
      <w:r w:rsidRPr="00B5356D">
        <w:t xml:space="preserve">. </w:t>
      </w:r>
      <w:r w:rsidRPr="00B5356D">
        <w:rPr>
          <w:i/>
        </w:rPr>
        <w:t>b</w:t>
      </w:r>
      <w:r w:rsidRPr="00B5356D">
        <w:t xml:space="preserve">), del padre condannato, conviventi con un figlio portatore di </w:t>
      </w:r>
      <w:r w:rsidRPr="00B5356D">
        <w:rPr>
          <w:i/>
        </w:rPr>
        <w:t>handicap</w:t>
      </w:r>
      <w:r w:rsidRPr="00B5356D">
        <w:t xml:space="preserve"> totalmente invalidante, per contrasto con l’art. 3 </w:t>
      </w:r>
      <w:proofErr w:type="spellStart"/>
      <w:r w:rsidRPr="00B5356D">
        <w:t>Cost</w:t>
      </w:r>
      <w:proofErr w:type="spellEnd"/>
      <w:r w:rsidRPr="00B5356D">
        <w:t>., il cui scopo è quello di rimuovere gli ostacoli di ordine sociale che impediscono il pieno sviluppo della personalità, con il principio di ragionevolezza e per difformità rispetto a situazioni familiari analoghe e tra loro equiparabili.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14EA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16A6-0E02-4AEA-B97F-378BB045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2016-06-01T14:46:00Z</dcterms:modified>
</cp:coreProperties>
</file>