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9DA" w:rsidRPr="00CF2003" w:rsidRDefault="002C49DA" w:rsidP="002C49DA">
      <w:pPr>
        <w:pStyle w:val="CapoversoAtti"/>
        <w:spacing w:line="240" w:lineRule="auto"/>
        <w:rPr>
          <w:iCs/>
          <w:sz w:val="2"/>
          <w:szCs w:val="2"/>
        </w:rPr>
      </w:pPr>
    </w:p>
    <w:tbl>
      <w:tblPr>
        <w:tblW w:w="6521" w:type="dxa"/>
        <w:tblInd w:w="108" w:type="dxa"/>
        <w:tblLook w:val="01E0" w:firstRow="1" w:lastRow="1" w:firstColumn="1" w:lastColumn="1" w:noHBand="0" w:noVBand="0"/>
      </w:tblPr>
      <w:tblGrid>
        <w:gridCol w:w="537"/>
        <w:gridCol w:w="5984"/>
      </w:tblGrid>
      <w:tr w:rsidR="00512A84" w:rsidRPr="00CF2003" w:rsidTr="00612527">
        <w:tc>
          <w:tcPr>
            <w:tcW w:w="537" w:type="dxa"/>
            <w:tcBorders>
              <w:bottom w:val="single" w:sz="4" w:space="0" w:color="5F5F5F"/>
              <w:right w:val="single" w:sz="4" w:space="0" w:color="5F5F5F"/>
            </w:tcBorders>
            <w:shd w:val="clear" w:color="auto" w:fill="auto"/>
            <w:vAlign w:val="center"/>
          </w:tcPr>
          <w:p w:rsidR="00512A84" w:rsidRPr="00CF2003" w:rsidRDefault="001A75ED" w:rsidP="00D925C4">
            <w:pPr>
              <w:pStyle w:val="DicituraAtto"/>
            </w:pPr>
            <w:r w:rsidRPr="00CF2003">
              <w:t>3</w:t>
            </w:r>
            <w:r w:rsidR="006B0D61" w:rsidRPr="00CF2003">
              <w:t>9</w:t>
            </w:r>
            <w:r w:rsidR="00D925C4" w:rsidRPr="00CF2003">
              <w:t>8</w:t>
            </w:r>
          </w:p>
        </w:tc>
        <w:tc>
          <w:tcPr>
            <w:tcW w:w="5984" w:type="dxa"/>
            <w:tcBorders>
              <w:left w:val="single" w:sz="4" w:space="0" w:color="5F5F5F"/>
              <w:bottom w:val="single" w:sz="4" w:space="0" w:color="5F5F5F"/>
            </w:tcBorders>
          </w:tcPr>
          <w:p w:rsidR="00512A84" w:rsidRPr="00CF2003" w:rsidRDefault="00512A84" w:rsidP="00187F07">
            <w:pPr>
              <w:widowControl w:val="0"/>
              <w:tabs>
                <w:tab w:val="left" w:pos="3420"/>
              </w:tabs>
              <w:jc w:val="center"/>
              <w:rPr>
                <w:rFonts w:ascii="Arial" w:hAnsi="Arial" w:cs="Arial"/>
                <w:b/>
                <w:i/>
                <w:sz w:val="22"/>
                <w:szCs w:val="22"/>
              </w:rPr>
            </w:pPr>
          </w:p>
        </w:tc>
      </w:tr>
      <w:tr w:rsidR="00512A84" w:rsidRPr="00CF2003" w:rsidTr="00612527">
        <w:trPr>
          <w:trHeight w:val="352"/>
        </w:trPr>
        <w:tc>
          <w:tcPr>
            <w:tcW w:w="537" w:type="dxa"/>
            <w:tcBorders>
              <w:top w:val="single" w:sz="4" w:space="0" w:color="5F5F5F"/>
              <w:right w:val="single" w:sz="4" w:space="0" w:color="5F5F5F"/>
            </w:tcBorders>
            <w:vAlign w:val="center"/>
          </w:tcPr>
          <w:p w:rsidR="00512A84" w:rsidRPr="00CF2003" w:rsidRDefault="00512A84" w:rsidP="00187F07">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512A84" w:rsidRPr="00CF2003" w:rsidRDefault="001A75ED" w:rsidP="00612527">
            <w:pPr>
              <w:pStyle w:val="TitoloAtto"/>
            </w:pPr>
            <w:r w:rsidRPr="00CF2003">
              <w:t>Domanda di applicazione provvisoria di misura alternativa alla detenzione</w:t>
            </w:r>
          </w:p>
        </w:tc>
      </w:tr>
    </w:tbl>
    <w:p w:rsidR="00612527" w:rsidRPr="00CF2003" w:rsidRDefault="00612527" w:rsidP="00612527">
      <w:pPr>
        <w:pStyle w:val="CapoversoAtti"/>
      </w:pPr>
    </w:p>
    <w:p w:rsidR="00612527" w:rsidRPr="00CF2003" w:rsidRDefault="00612527" w:rsidP="00612527">
      <w:pPr>
        <w:pStyle w:val="CapoversoAtti"/>
      </w:pPr>
    </w:p>
    <w:p w:rsidR="00612527" w:rsidRPr="00CF2003" w:rsidRDefault="00612527" w:rsidP="00612527">
      <w:pPr>
        <w:pStyle w:val="CapoversoAtti"/>
      </w:pPr>
    </w:p>
    <w:p w:rsidR="002C49DA" w:rsidRPr="00CF2003" w:rsidRDefault="002C49DA" w:rsidP="006B0D61">
      <w:pPr>
        <w:pStyle w:val="CapoversoAtti"/>
        <w:spacing w:line="244" w:lineRule="exact"/>
        <w:jc w:val="center"/>
      </w:pPr>
      <w:r w:rsidRPr="00CF2003">
        <w:t>Magistrato di sorveglianza di….</w:t>
      </w:r>
    </w:p>
    <w:p w:rsidR="002C49DA" w:rsidRPr="00CF2003" w:rsidRDefault="002C49DA" w:rsidP="006B0D61">
      <w:pPr>
        <w:pStyle w:val="CapoversoAtti"/>
        <w:spacing w:line="244" w:lineRule="exact"/>
      </w:pPr>
    </w:p>
    <w:p w:rsidR="002C49DA" w:rsidRPr="00CF2003" w:rsidRDefault="002C49DA" w:rsidP="006B0D61">
      <w:pPr>
        <w:pStyle w:val="CapoversoAtti"/>
        <w:spacing w:line="244" w:lineRule="exact"/>
      </w:pPr>
    </w:p>
    <w:p w:rsidR="002C49DA" w:rsidRPr="00CF2003" w:rsidRDefault="002C49DA" w:rsidP="006B0D61">
      <w:pPr>
        <w:pStyle w:val="CapoversoAtti"/>
        <w:spacing w:line="244" w:lineRule="exact"/>
        <w:rPr>
          <w:spacing w:val="-2"/>
        </w:rPr>
      </w:pPr>
      <w:r w:rsidRPr="00CF2003">
        <w:rPr>
          <w:spacing w:val="-2"/>
        </w:rPr>
        <w:t>Il sottoscritto Avv. … … … (nome e cognome), difensore di … … … (nome e cognome), in forza di nomina allegata al presente atto, domiciliato ai fini di questo procedimento in … … …, Via … … …, n. … … …, ai sensi dell</w:t>
      </w:r>
      <w:r w:rsidR="00FA6E34" w:rsidRPr="00CF2003">
        <w:rPr>
          <w:spacing w:val="-2"/>
        </w:rPr>
        <w:t>’</w:t>
      </w:r>
      <w:r w:rsidRPr="00CF2003">
        <w:rPr>
          <w:spacing w:val="-2"/>
        </w:rPr>
        <w:t>art. 677, comma 2</w:t>
      </w:r>
      <w:r w:rsidR="00CF2003" w:rsidRPr="00CF2003">
        <w:rPr>
          <w:i/>
          <w:spacing w:val="-2"/>
        </w:rPr>
        <w:t>-</w:t>
      </w:r>
      <w:r w:rsidR="00562A61" w:rsidRPr="00CF2003">
        <w:rPr>
          <w:i/>
          <w:spacing w:val="-2"/>
        </w:rPr>
        <w:t>bis</w:t>
      </w:r>
      <w:r w:rsidR="00562A61" w:rsidRPr="00CF2003">
        <w:rPr>
          <w:spacing w:val="-2"/>
        </w:rPr>
        <w:t>,</w:t>
      </w:r>
      <w:r w:rsidRPr="00CF2003">
        <w:rPr>
          <w:spacing w:val="-2"/>
        </w:rPr>
        <w:t xml:space="preserve"> c.p.p.</w:t>
      </w:r>
      <w:r w:rsidRPr="00CF2003">
        <w:rPr>
          <w:snapToGrid w:val="0"/>
          <w:color w:val="000000"/>
          <w:spacing w:val="-2"/>
          <w:u w:color="000000"/>
        </w:rPr>
        <w:t> </w:t>
      </w:r>
      <w:r w:rsidRPr="00CF2003">
        <w:rPr>
          <w:rStyle w:val="Rimandonotaapidipagina"/>
          <w:snapToGrid w:val="0"/>
          <w:color w:val="000000"/>
          <w:spacing w:val="-2"/>
          <w:u w:color="000000"/>
        </w:rPr>
        <w:footnoteReference w:id="1"/>
      </w:r>
      <w:r w:rsidRPr="00CF2003">
        <w:rPr>
          <w:spacing w:val="-2"/>
        </w:rPr>
        <w:t>, condannato alla pena della … … … in forza della sentenza di condanna n. … … … emessa in data …/…/… da … … …, nel processo penale n. … … …</w:t>
      </w:r>
    </w:p>
    <w:p w:rsidR="002C49DA" w:rsidRPr="00CF2003" w:rsidRDefault="002C49DA" w:rsidP="006B0D61">
      <w:pPr>
        <w:pStyle w:val="CapoversoAtti"/>
        <w:spacing w:line="244" w:lineRule="exact"/>
      </w:pPr>
    </w:p>
    <w:p w:rsidR="002C49DA" w:rsidRPr="00CF2003" w:rsidRDefault="002C49DA" w:rsidP="006B0D61">
      <w:pPr>
        <w:pStyle w:val="CapoversoAtti"/>
        <w:spacing w:line="244" w:lineRule="exact"/>
        <w:jc w:val="center"/>
        <w:rPr>
          <w:i/>
        </w:rPr>
      </w:pPr>
      <w:r w:rsidRPr="00CF2003">
        <w:rPr>
          <w:i/>
        </w:rPr>
        <w:t>premesso che</w:t>
      </w:r>
    </w:p>
    <w:p w:rsidR="002C49DA" w:rsidRPr="00CF2003" w:rsidRDefault="002C49DA" w:rsidP="006B0D61">
      <w:pPr>
        <w:pStyle w:val="CapoversoAtti"/>
        <w:spacing w:line="244" w:lineRule="exact"/>
      </w:pPr>
    </w:p>
    <w:p w:rsidR="002C49DA" w:rsidRPr="00CF2003" w:rsidRDefault="002C49DA" w:rsidP="006B0D61">
      <w:pPr>
        <w:pStyle w:val="CapoversoAtti"/>
        <w:spacing w:line="244" w:lineRule="exact"/>
      </w:pPr>
      <w:r w:rsidRPr="00CF2003">
        <w:t>– il Sig. … … … (nome e cognome) deve scontare una pena non superiore a … … …</w:t>
      </w:r>
      <w:r w:rsidRPr="00CF2003">
        <w:rPr>
          <w:snapToGrid w:val="0"/>
          <w:color w:val="000000"/>
          <w:u w:color="000000"/>
        </w:rPr>
        <w:t> </w:t>
      </w:r>
      <w:r w:rsidRPr="00CF2003">
        <w:rPr>
          <w:rStyle w:val="Rimandonotaapidipagina"/>
          <w:snapToGrid w:val="0"/>
          <w:color w:val="000000"/>
          <w:u w:color="000000"/>
        </w:rPr>
        <w:footnoteReference w:id="2"/>
      </w:r>
      <w:r w:rsidRPr="00CF2003">
        <w:t>;</w:t>
      </w:r>
    </w:p>
    <w:p w:rsidR="00FA6E34" w:rsidRPr="00CF2003" w:rsidRDefault="002C49DA" w:rsidP="006B0D61">
      <w:pPr>
        <w:pStyle w:val="CapoversoAtti"/>
        <w:spacing w:line="244" w:lineRule="exact"/>
      </w:pPr>
      <w:r w:rsidRPr="00CF2003">
        <w:t xml:space="preserve">– il Sig. … … … (nome e cognome) non è </w:t>
      </w:r>
      <w:r w:rsidR="00562A61" w:rsidRPr="00CF2003">
        <w:t>stato</w:t>
      </w:r>
      <w:r w:rsidRPr="00CF2003">
        <w:t xml:space="preserve"> condannato per uno dei reati ostativi indicati nell</w:t>
      </w:r>
      <w:r w:rsidR="00FA6E34" w:rsidRPr="00CF2003">
        <w:t>’</w:t>
      </w:r>
      <w:r w:rsidRPr="00CF2003">
        <w:t>art. 4</w:t>
      </w:r>
      <w:r w:rsidR="00CF2003" w:rsidRPr="00CF2003">
        <w:rPr>
          <w:i/>
        </w:rPr>
        <w:t>-</w:t>
      </w:r>
      <w:r w:rsidR="00562A61" w:rsidRPr="00CF2003">
        <w:rPr>
          <w:i/>
        </w:rPr>
        <w:t xml:space="preserve">bis </w:t>
      </w:r>
      <w:proofErr w:type="spellStart"/>
      <w:r w:rsidRPr="00CF2003">
        <w:t>ord</w:t>
      </w:r>
      <w:proofErr w:type="spellEnd"/>
      <w:r w:rsidRPr="00CF2003">
        <w:t xml:space="preserve">. </w:t>
      </w:r>
      <w:proofErr w:type="spellStart"/>
      <w:r w:rsidRPr="00CF2003">
        <w:t>penit</w:t>
      </w:r>
      <w:proofErr w:type="spellEnd"/>
      <w:r w:rsidRPr="00CF2003">
        <w:t>.</w:t>
      </w:r>
    </w:p>
    <w:p w:rsidR="00FA6E34" w:rsidRPr="00CF2003" w:rsidRDefault="002C49DA" w:rsidP="006B0D61">
      <w:pPr>
        <w:pStyle w:val="CapoversoAtti"/>
        <w:widowControl w:val="0"/>
        <w:spacing w:line="244" w:lineRule="exact"/>
        <w:rPr>
          <w:iCs/>
        </w:rPr>
      </w:pPr>
      <w:r w:rsidRPr="00CF2003">
        <w:rPr>
          <w:iCs/>
        </w:rPr>
        <w:t>ovvero</w:t>
      </w:r>
    </w:p>
    <w:p w:rsidR="002C49DA" w:rsidRPr="00CF2003" w:rsidRDefault="002C49DA" w:rsidP="00612527">
      <w:pPr>
        <w:pStyle w:val="CapoversoAtti"/>
      </w:pPr>
      <w:r w:rsidRPr="00CF2003">
        <w:rPr>
          <w:spacing w:val="4"/>
        </w:rPr>
        <w:t xml:space="preserve">– il Sig. … … … (nome e cognome) è </w:t>
      </w:r>
      <w:r w:rsidR="00562A61" w:rsidRPr="00CF2003">
        <w:rPr>
          <w:spacing w:val="4"/>
        </w:rPr>
        <w:t>stato</w:t>
      </w:r>
      <w:r w:rsidRPr="00CF2003">
        <w:rPr>
          <w:spacing w:val="4"/>
        </w:rPr>
        <w:t xml:space="preserve"> condannato per uno dei reati ostativi indicati nell</w:t>
      </w:r>
      <w:r w:rsidR="00FA6E34" w:rsidRPr="00CF2003">
        <w:rPr>
          <w:spacing w:val="4"/>
        </w:rPr>
        <w:t>’</w:t>
      </w:r>
      <w:r w:rsidRPr="00CF2003">
        <w:rPr>
          <w:spacing w:val="4"/>
        </w:rPr>
        <w:t>art. 4</w:t>
      </w:r>
      <w:r w:rsidR="00CF2003" w:rsidRPr="00CF2003">
        <w:rPr>
          <w:i/>
          <w:spacing w:val="4"/>
        </w:rPr>
        <w:t>-</w:t>
      </w:r>
      <w:r w:rsidR="00562A61" w:rsidRPr="00CF2003">
        <w:rPr>
          <w:i/>
          <w:spacing w:val="4"/>
        </w:rPr>
        <w:t>bis</w:t>
      </w:r>
      <w:r w:rsidR="00562A61" w:rsidRPr="00CF2003">
        <w:rPr>
          <w:spacing w:val="4"/>
        </w:rPr>
        <w:t>,</w:t>
      </w:r>
      <w:r w:rsidRPr="00CF2003">
        <w:rPr>
          <w:spacing w:val="4"/>
        </w:rPr>
        <w:t xml:space="preserve"> comma 1</w:t>
      </w:r>
      <w:r w:rsidR="006B0D61" w:rsidRPr="00CF2003">
        <w:rPr>
          <w:spacing w:val="4"/>
          <w:vertAlign w:val="superscript"/>
        </w:rPr>
        <w:t> </w:t>
      </w:r>
      <w:r w:rsidRPr="00CF2003">
        <w:rPr>
          <w:rStyle w:val="Rimandonotaapidipagina"/>
          <w:iCs/>
          <w:spacing w:val="4"/>
        </w:rPr>
        <w:footnoteReference w:id="3"/>
      </w:r>
      <w:r w:rsidRPr="00CF2003">
        <w:rPr>
          <w:spacing w:val="4"/>
        </w:rPr>
        <w:t xml:space="preserve"> ovvero comma 1</w:t>
      </w:r>
      <w:r w:rsidR="00CF2003" w:rsidRPr="00CF2003">
        <w:rPr>
          <w:i/>
          <w:spacing w:val="4"/>
        </w:rPr>
        <w:t>-</w:t>
      </w:r>
      <w:r w:rsidR="00562A61" w:rsidRPr="00CF2003">
        <w:rPr>
          <w:i/>
          <w:spacing w:val="4"/>
        </w:rPr>
        <w:t>bis</w:t>
      </w:r>
      <w:r w:rsidR="00562A61" w:rsidRPr="00CF2003">
        <w:rPr>
          <w:i/>
          <w:spacing w:val="4"/>
          <w:vertAlign w:val="superscript"/>
        </w:rPr>
        <w:t> </w:t>
      </w:r>
      <w:r w:rsidRPr="00CF2003">
        <w:rPr>
          <w:rStyle w:val="Rimandonotaapidipagina"/>
          <w:iCs/>
          <w:spacing w:val="4"/>
        </w:rPr>
        <w:footnoteReference w:id="4"/>
      </w:r>
      <w:r w:rsidRPr="00CF2003">
        <w:rPr>
          <w:spacing w:val="4"/>
        </w:rPr>
        <w:t xml:space="preserve"> ovvero comma </w:t>
      </w:r>
      <w:r w:rsidRPr="00CF2003">
        <w:rPr>
          <w:spacing w:val="4"/>
        </w:rPr>
        <w:lastRenderedPageBreak/>
        <w:t>1</w:t>
      </w:r>
      <w:r w:rsidR="00CF2003" w:rsidRPr="00CF2003">
        <w:rPr>
          <w:i/>
          <w:spacing w:val="4"/>
        </w:rPr>
        <w:t>-</w:t>
      </w:r>
      <w:r w:rsidR="00562A61" w:rsidRPr="00CF2003">
        <w:rPr>
          <w:i/>
          <w:spacing w:val="4"/>
        </w:rPr>
        <w:t>ter</w:t>
      </w:r>
      <w:r w:rsidR="00562A61" w:rsidRPr="00CF2003">
        <w:rPr>
          <w:i/>
          <w:spacing w:val="4"/>
          <w:vertAlign w:val="superscript"/>
        </w:rPr>
        <w:t> </w:t>
      </w:r>
      <w:r w:rsidRPr="00CF2003">
        <w:rPr>
          <w:rStyle w:val="Rimandonotaapidipagina"/>
          <w:iCs/>
          <w:spacing w:val="4"/>
        </w:rPr>
        <w:footnoteReference w:id="5"/>
      </w:r>
      <w:r w:rsidRPr="00CF2003">
        <w:t xml:space="preserve"> ovvero</w:t>
      </w:r>
      <w:r w:rsidR="00FA6E34" w:rsidRPr="00CF2003">
        <w:t xml:space="preserve"> </w:t>
      </w:r>
      <w:r w:rsidRPr="00CF2003">
        <w:t>comma 1</w:t>
      </w:r>
      <w:r w:rsidR="00CF2003" w:rsidRPr="00CF2003">
        <w:rPr>
          <w:i/>
        </w:rPr>
        <w:t>-</w:t>
      </w:r>
      <w:r w:rsidR="00562A61" w:rsidRPr="00CF2003">
        <w:rPr>
          <w:i/>
        </w:rPr>
        <w:t>quater</w:t>
      </w:r>
      <w:r w:rsidR="00562A61" w:rsidRPr="00CF2003">
        <w:rPr>
          <w:i/>
          <w:vertAlign w:val="superscript"/>
        </w:rPr>
        <w:t> </w:t>
      </w:r>
      <w:r w:rsidRPr="00CF2003">
        <w:rPr>
          <w:rStyle w:val="Rimandonotaapidipagina"/>
          <w:iCs/>
          <w:spacing w:val="-2"/>
        </w:rPr>
        <w:footnoteReference w:id="6"/>
      </w:r>
      <w:r w:rsidRPr="00CF2003">
        <w:t xml:space="preserve"> o 1</w:t>
      </w:r>
      <w:r w:rsidR="00CF2003" w:rsidRPr="00CF2003">
        <w:rPr>
          <w:i/>
        </w:rPr>
        <w:t>-</w:t>
      </w:r>
      <w:r w:rsidR="00562A61" w:rsidRPr="00CF2003">
        <w:rPr>
          <w:i/>
        </w:rPr>
        <w:t>quinquies</w:t>
      </w:r>
      <w:r w:rsidR="00562A61" w:rsidRPr="00CF2003">
        <w:rPr>
          <w:i/>
          <w:vertAlign w:val="superscript"/>
        </w:rPr>
        <w:t> </w:t>
      </w:r>
      <w:r w:rsidRPr="00CF2003">
        <w:rPr>
          <w:rStyle w:val="Rimandonotaapidipagina"/>
          <w:iCs/>
          <w:spacing w:val="-2"/>
        </w:rPr>
        <w:footnoteReference w:id="7"/>
      </w:r>
      <w:r w:rsidRPr="00CF2003">
        <w:t xml:space="preserve"> </w:t>
      </w:r>
      <w:proofErr w:type="spellStart"/>
      <w:r w:rsidRPr="00CF2003">
        <w:t>ord</w:t>
      </w:r>
      <w:proofErr w:type="spellEnd"/>
      <w:r w:rsidRPr="00CF2003">
        <w:t xml:space="preserve">. </w:t>
      </w:r>
      <w:proofErr w:type="spellStart"/>
      <w:r w:rsidRPr="00CF2003">
        <w:t>penit</w:t>
      </w:r>
      <w:proofErr w:type="spellEnd"/>
      <w:r w:rsidRPr="00CF2003">
        <w:t xml:space="preserve">., ma che, allo </w:t>
      </w:r>
      <w:r w:rsidR="00562A61" w:rsidRPr="00CF2003">
        <w:t>stato</w:t>
      </w:r>
      <w:r w:rsidRPr="00CF2003">
        <w:t>, non sus</w:t>
      </w:r>
      <w:r w:rsidR="006B0D61" w:rsidRPr="00CF2003">
        <w:softHyphen/>
      </w:r>
      <w:r w:rsidRPr="00CF2003">
        <w:t>sistono</w:t>
      </w:r>
      <w:r w:rsidR="00FA6E34" w:rsidRPr="00CF2003">
        <w:t xml:space="preserve"> </w:t>
      </w:r>
      <w:r w:rsidRPr="00CF2003">
        <w:rPr>
          <w:snapToGrid w:val="0"/>
          <w:color w:val="000000"/>
          <w:u w:color="000000"/>
        </w:rPr>
        <w:t>ostacoli all</w:t>
      </w:r>
      <w:r w:rsidR="00FA6E34" w:rsidRPr="00CF2003">
        <w:rPr>
          <w:snapToGrid w:val="0"/>
          <w:color w:val="000000"/>
          <w:u w:color="000000"/>
        </w:rPr>
        <w:t>’</w:t>
      </w:r>
      <w:r w:rsidRPr="00CF2003">
        <w:rPr>
          <w:snapToGrid w:val="0"/>
          <w:color w:val="000000"/>
          <w:u w:color="000000"/>
        </w:rPr>
        <w:t>ammissione alla</w:t>
      </w:r>
      <w:r w:rsidR="00FA6E34" w:rsidRPr="00CF2003">
        <w:rPr>
          <w:snapToGrid w:val="0"/>
          <w:color w:val="000000"/>
          <w:u w:color="000000"/>
        </w:rPr>
        <w:t xml:space="preserve"> </w:t>
      </w:r>
      <w:r w:rsidRPr="00CF2003">
        <w:rPr>
          <w:snapToGrid w:val="0"/>
          <w:color w:val="000000"/>
          <w:u w:color="000000"/>
        </w:rPr>
        <w:t>misura alternativa della….</w:t>
      </w:r>
      <w:r w:rsidRPr="00CF2003">
        <w:rPr>
          <w:color w:val="000000"/>
        </w:rPr>
        <w:t>, (spiegare i motivi)</w:t>
      </w:r>
      <w:r w:rsidRPr="00CF2003">
        <w:t>;</w:t>
      </w:r>
    </w:p>
    <w:p w:rsidR="002C49DA" w:rsidRPr="00CF2003" w:rsidRDefault="002C49DA" w:rsidP="00612527">
      <w:pPr>
        <w:pStyle w:val="CapoversoAtti"/>
      </w:pPr>
      <w:r w:rsidRPr="00CF2003">
        <w:t xml:space="preserve">– il Sig. … … … (nome e cognome) non è </w:t>
      </w:r>
      <w:r w:rsidR="00562A61" w:rsidRPr="00CF2003">
        <w:t>stato</w:t>
      </w:r>
      <w:r w:rsidRPr="00CF2003">
        <w:t xml:space="preserve"> condannato per il reato previsto dall</w:t>
      </w:r>
      <w:r w:rsidR="00FA6E34" w:rsidRPr="00CF2003">
        <w:t>’</w:t>
      </w:r>
      <w:r w:rsidRPr="00CF2003">
        <w:t>art. 385 c.p.</w:t>
      </w:r>
      <w:r w:rsidRPr="00CF2003">
        <w:rPr>
          <w:snapToGrid w:val="0"/>
          <w:color w:val="000000"/>
          <w:u w:color="000000"/>
        </w:rPr>
        <w:t> </w:t>
      </w:r>
      <w:r w:rsidRPr="00CF2003">
        <w:rPr>
          <w:rStyle w:val="Rimandonotaapidipagina"/>
          <w:snapToGrid w:val="0"/>
          <w:color w:val="000000"/>
          <w:u w:color="000000"/>
        </w:rPr>
        <w:footnoteReference w:id="8"/>
      </w:r>
      <w:r w:rsidRPr="00CF2003">
        <w:t>;</w:t>
      </w:r>
    </w:p>
    <w:p w:rsidR="00FA6E34" w:rsidRPr="00CF2003" w:rsidRDefault="002C49DA" w:rsidP="00612527">
      <w:pPr>
        <w:pStyle w:val="CapoversoAtti"/>
      </w:pPr>
      <w:r w:rsidRPr="00CF2003">
        <w:t>– nei confronti del Sig. … … … (nome e cognome) non è stata disposta la revoca di una misura alternativa ai sensi degli artt. 47, comma 11, 47</w:t>
      </w:r>
      <w:r w:rsidR="00CF2003" w:rsidRPr="00CF2003">
        <w:rPr>
          <w:i/>
        </w:rPr>
        <w:t>-</w:t>
      </w:r>
      <w:r w:rsidR="00562A61" w:rsidRPr="00CF2003">
        <w:rPr>
          <w:i/>
        </w:rPr>
        <w:t>ter</w:t>
      </w:r>
      <w:r w:rsidR="00562A61" w:rsidRPr="00CF2003">
        <w:t>,</w:t>
      </w:r>
      <w:r w:rsidRPr="00CF2003">
        <w:t xml:space="preserve"> comma 6 o 51, comma 1, </w:t>
      </w:r>
      <w:proofErr w:type="spellStart"/>
      <w:r w:rsidRPr="00CF2003">
        <w:t>ord</w:t>
      </w:r>
      <w:proofErr w:type="spellEnd"/>
      <w:r w:rsidRPr="00CF2003">
        <w:t xml:space="preserve">. </w:t>
      </w:r>
      <w:proofErr w:type="spellStart"/>
      <w:r w:rsidRPr="00CF2003">
        <w:t>penit</w:t>
      </w:r>
      <w:proofErr w:type="spellEnd"/>
      <w:r w:rsidRPr="00CF2003">
        <w:t>.</w:t>
      </w:r>
      <w:r w:rsidRPr="00CF2003">
        <w:rPr>
          <w:snapToGrid w:val="0"/>
          <w:u w:color="000000"/>
        </w:rPr>
        <w:t> </w:t>
      </w:r>
      <w:r w:rsidRPr="00CF2003">
        <w:rPr>
          <w:rStyle w:val="Rimandonotaapidipagina"/>
          <w:snapToGrid w:val="0"/>
          <w:color w:val="000000"/>
          <w:u w:color="000000"/>
        </w:rPr>
        <w:footnoteReference w:id="9"/>
      </w:r>
      <w:r w:rsidRPr="00CF2003">
        <w:t>;</w:t>
      </w:r>
    </w:p>
    <w:p w:rsidR="002C49DA" w:rsidRPr="00CF2003" w:rsidRDefault="002C49DA" w:rsidP="00612527">
      <w:pPr>
        <w:pStyle w:val="CapoversoAtti"/>
      </w:pPr>
      <w:r w:rsidRPr="00CF2003">
        <w:t>– ricorrono tutti i presupposti e le condizioni previste dall</w:t>
      </w:r>
      <w:r w:rsidR="00FA6E34" w:rsidRPr="00CF2003">
        <w:t>’</w:t>
      </w:r>
      <w:r w:rsidRPr="00CF2003">
        <w:t>art. … … … dell</w:t>
      </w:r>
      <w:r w:rsidR="00FA6E34" w:rsidRPr="00CF2003">
        <w:t>’</w:t>
      </w:r>
      <w:r w:rsidRPr="00CF2003">
        <w:t>ordinamento penitenziario e, in particolare: … … …</w:t>
      </w:r>
      <w:r w:rsidRPr="00CF2003">
        <w:rPr>
          <w:snapToGrid w:val="0"/>
          <w:color w:val="000000"/>
          <w:u w:color="000000"/>
        </w:rPr>
        <w:t> </w:t>
      </w:r>
      <w:r w:rsidRPr="00CF2003">
        <w:rPr>
          <w:rStyle w:val="Rimandonotaapidipagina"/>
          <w:snapToGrid w:val="0"/>
          <w:color w:val="000000"/>
          <w:u w:color="000000"/>
        </w:rPr>
        <w:footnoteReference w:id="10"/>
      </w:r>
      <w:r w:rsidRPr="00CF2003">
        <w:t>;</w:t>
      </w:r>
    </w:p>
    <w:p w:rsidR="002C49DA" w:rsidRPr="00CF2003" w:rsidRDefault="002C49DA" w:rsidP="00612527">
      <w:pPr>
        <w:pStyle w:val="CapoversoAtti"/>
      </w:pPr>
      <w:r w:rsidRPr="00CF2003">
        <w:lastRenderedPageBreak/>
        <w:t>– il Sig. ... ... ... (nome e cognome) si impegna ad osservare tutte le prescrizioni impartitegli;</w:t>
      </w:r>
    </w:p>
    <w:p w:rsidR="002C49DA" w:rsidRPr="00CF2003" w:rsidRDefault="002C49DA" w:rsidP="00612527">
      <w:pPr>
        <w:pStyle w:val="CapoversoAtti"/>
      </w:pPr>
      <w:r w:rsidRPr="00CF2003">
        <w:t xml:space="preserve">– la protrazione dello </w:t>
      </w:r>
      <w:r w:rsidR="00562A61" w:rsidRPr="00CF2003">
        <w:t>stato</w:t>
      </w:r>
      <w:r w:rsidRPr="00CF2003">
        <w:t xml:space="preserve"> di detenzione comporta un grave pregiudizio per il condannato, considerate le indicazioni provenienti dai seguenti elementi concreti: … … ...;</w:t>
      </w:r>
    </w:p>
    <w:p w:rsidR="002C49DA" w:rsidRPr="00CF2003" w:rsidRDefault="002C49DA" w:rsidP="00612527">
      <w:pPr>
        <w:pStyle w:val="CapoversoAtti"/>
      </w:pPr>
      <w:r w:rsidRPr="00CF2003">
        <w:t>– è, altresì, desumibile da elementi concreti che non sussiste il pericolo di fuga poiché … … …;</w:t>
      </w:r>
    </w:p>
    <w:p w:rsidR="002C49DA" w:rsidRPr="00CF2003" w:rsidRDefault="002C49DA" w:rsidP="00612527">
      <w:pPr>
        <w:pStyle w:val="CapoversoAtti"/>
      </w:pPr>
      <w:r w:rsidRPr="00CF2003">
        <w:t>– è, dunque, opportuno un intervento immediato del Magistrato di sorveglianza;</w:t>
      </w:r>
    </w:p>
    <w:p w:rsidR="002C49DA" w:rsidRPr="00CF2003" w:rsidRDefault="002C49DA" w:rsidP="002C49DA">
      <w:pPr>
        <w:pStyle w:val="CapoversoAtti"/>
        <w:spacing w:line="236" w:lineRule="exact"/>
        <w:rPr>
          <w:iCs/>
        </w:rPr>
      </w:pPr>
      <w:r w:rsidRPr="00CF2003">
        <w:rPr>
          <w:iCs/>
        </w:rPr>
        <w:t>pertanto,</w:t>
      </w:r>
    </w:p>
    <w:p w:rsidR="00612527" w:rsidRPr="00CF2003" w:rsidRDefault="00612527" w:rsidP="002C49DA">
      <w:pPr>
        <w:pStyle w:val="CapoversoAtti"/>
        <w:spacing w:line="236" w:lineRule="exact"/>
        <w:rPr>
          <w:iCs/>
        </w:rPr>
      </w:pPr>
    </w:p>
    <w:p w:rsidR="002C49DA" w:rsidRPr="00CF2003" w:rsidRDefault="002C49DA" w:rsidP="00612527">
      <w:pPr>
        <w:pStyle w:val="CapoversoAtti"/>
        <w:jc w:val="center"/>
        <w:rPr>
          <w:i/>
        </w:rPr>
      </w:pPr>
      <w:r w:rsidRPr="00CF2003">
        <w:rPr>
          <w:i/>
        </w:rPr>
        <w:t>chiede</w:t>
      </w:r>
    </w:p>
    <w:p w:rsidR="00612527" w:rsidRPr="00CF2003" w:rsidRDefault="00612527" w:rsidP="00612527">
      <w:pPr>
        <w:pStyle w:val="CapoversoAtti"/>
      </w:pPr>
    </w:p>
    <w:p w:rsidR="00FA6E34" w:rsidRPr="00CF2003" w:rsidRDefault="002C49DA" w:rsidP="00612527">
      <w:pPr>
        <w:pStyle w:val="CapoversoAtti"/>
      </w:pPr>
      <w:r w:rsidRPr="00CF2003">
        <w:t>che, previa sospensione dell</w:t>
      </w:r>
      <w:r w:rsidR="00FA6E34" w:rsidRPr="00CF2003">
        <w:t>’</w:t>
      </w:r>
      <w:r w:rsidRPr="00CF2003">
        <w:t>esecuzione della pena e liberazione del condannato, il</w:t>
      </w:r>
      <w:r w:rsidR="00FA6E34" w:rsidRPr="00CF2003">
        <w:t xml:space="preserve"> </w:t>
      </w:r>
      <w:r w:rsidRPr="00CF2003">
        <w:t>Magistrato di sorveglianza disponga l</w:t>
      </w:r>
      <w:r w:rsidR="00FA6E34" w:rsidRPr="00CF2003">
        <w:t>’</w:t>
      </w:r>
      <w:r w:rsidRPr="00CF2003">
        <w:t>applicazione provvisoria della misura</w:t>
      </w:r>
      <w:r w:rsidR="007121D8" w:rsidRPr="00CF2003">
        <w:t> </w:t>
      </w:r>
      <w:r w:rsidRPr="00CF2003">
        <w:rPr>
          <w:rStyle w:val="Rimandonotaapidipagina"/>
          <w:iCs/>
        </w:rPr>
        <w:footnoteReference w:id="11"/>
      </w:r>
      <w:r w:rsidRPr="00CF2003">
        <w:t xml:space="preserve"> ….</w:t>
      </w:r>
      <w:r w:rsidR="006B0D61" w:rsidRPr="00CF2003">
        <w:t xml:space="preserve"> </w:t>
      </w:r>
      <w:r w:rsidRPr="00CF2003">
        <w:t xml:space="preserve">in favore del Sig. … … … (nome e cognome) e trasmetta gli atti al </w:t>
      </w:r>
      <w:r w:rsidR="00562A61" w:rsidRPr="00CF2003">
        <w:t>Tribunale</w:t>
      </w:r>
      <w:r w:rsidRPr="00CF2003">
        <w:t xml:space="preserve"> di sorveglianza.</w:t>
      </w:r>
    </w:p>
    <w:p w:rsidR="002C49DA" w:rsidRPr="00CF2003" w:rsidRDefault="002C49DA" w:rsidP="00612527">
      <w:pPr>
        <w:pStyle w:val="CapoversoAtti"/>
      </w:pPr>
    </w:p>
    <w:p w:rsidR="002C49DA" w:rsidRPr="00CF2003" w:rsidRDefault="002C49DA" w:rsidP="00612527">
      <w:pPr>
        <w:pStyle w:val="CapoversoAtti"/>
      </w:pPr>
      <w:r w:rsidRPr="00CF2003">
        <w:t>Luogo e data</w:t>
      </w:r>
    </w:p>
    <w:p w:rsidR="002C49DA" w:rsidRPr="00CF2003" w:rsidRDefault="002C49DA" w:rsidP="00612527">
      <w:pPr>
        <w:pStyle w:val="CapoversoAtti"/>
        <w:jc w:val="right"/>
      </w:pPr>
      <w:r w:rsidRPr="00CF2003">
        <w:t>Sottoscrizione del difensore</w:t>
      </w:r>
      <w:bookmarkStart w:id="0" w:name="_GoBack"/>
      <w:bookmarkEnd w:id="0"/>
    </w:p>
    <w:sectPr w:rsidR="002C49DA" w:rsidRPr="00CF2003" w:rsidSect="00A60657">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711" w:rsidRDefault="00976711">
      <w:r>
        <w:separator/>
      </w:r>
    </w:p>
    <w:p w:rsidR="00976711" w:rsidRDefault="00976711"/>
    <w:p w:rsidR="00976711" w:rsidRDefault="00976711"/>
    <w:p w:rsidR="00976711" w:rsidRDefault="00976711"/>
  </w:endnote>
  <w:endnote w:type="continuationSeparator" w:id="0">
    <w:p w:rsidR="00976711" w:rsidRDefault="00976711">
      <w:r>
        <w:continuationSeparator/>
      </w:r>
    </w:p>
    <w:p w:rsidR="00976711" w:rsidRDefault="00976711"/>
    <w:p w:rsidR="00976711" w:rsidRDefault="00976711"/>
    <w:p w:rsidR="00976711" w:rsidRDefault="00976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B1" w:rsidRDefault="007515B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B1" w:rsidRDefault="007515B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B1" w:rsidRDefault="007515B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76711">
        <w:tc>
          <w:tcPr>
            <w:tcW w:w="1134" w:type="dxa"/>
            <w:tcBorders>
              <w:top w:val="nil"/>
              <w:left w:val="nil"/>
              <w:bottom w:val="single" w:sz="4" w:space="0" w:color="auto"/>
              <w:right w:val="nil"/>
            </w:tcBorders>
            <w:tcMar>
              <w:top w:w="0" w:type="dxa"/>
              <w:left w:w="0" w:type="dxa"/>
              <w:bottom w:w="0" w:type="dxa"/>
              <w:right w:w="0" w:type="dxa"/>
            </w:tcMar>
          </w:tcPr>
          <w:p w:rsidR="00976711" w:rsidRDefault="00976711" w:rsidP="00E0277F">
            <w:pPr>
              <w:pStyle w:val="Pidipagina"/>
              <w:spacing w:line="200" w:lineRule="exact"/>
              <w:rPr>
                <w:rFonts w:ascii="Simoncini Garamond" w:hAnsi="Simoncini Garamond" w:cs="Simoncini Garamond"/>
              </w:rPr>
            </w:pPr>
          </w:p>
        </w:tc>
      </w:tr>
    </w:tbl>
    <w:p w:rsidR="00976711" w:rsidRPr="00BC75D6" w:rsidRDefault="00976711"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76711">
        <w:tc>
          <w:tcPr>
            <w:tcW w:w="1134" w:type="dxa"/>
            <w:tcBorders>
              <w:top w:val="nil"/>
              <w:left w:val="nil"/>
              <w:bottom w:val="single" w:sz="4" w:space="0" w:color="auto"/>
              <w:right w:val="nil"/>
            </w:tcBorders>
            <w:tcMar>
              <w:top w:w="0" w:type="dxa"/>
              <w:left w:w="0" w:type="dxa"/>
              <w:bottom w:w="0" w:type="dxa"/>
              <w:right w:w="0" w:type="dxa"/>
            </w:tcMar>
          </w:tcPr>
          <w:p w:rsidR="00976711" w:rsidRDefault="00976711" w:rsidP="00E0277F">
            <w:pPr>
              <w:pStyle w:val="Pidipagina"/>
              <w:spacing w:line="200" w:lineRule="exact"/>
              <w:rPr>
                <w:rFonts w:ascii="Simoncini Garamond" w:hAnsi="Simoncini Garamond" w:cs="Simoncini Garamond"/>
              </w:rPr>
            </w:pPr>
          </w:p>
        </w:tc>
      </w:tr>
    </w:tbl>
    <w:p w:rsidR="00976711" w:rsidRPr="00BC75D6" w:rsidRDefault="00976711" w:rsidP="00BC75D6">
      <w:pPr>
        <w:spacing w:line="100" w:lineRule="exact"/>
        <w:rPr>
          <w:sz w:val="10"/>
          <w:szCs w:val="10"/>
        </w:rPr>
      </w:pPr>
    </w:p>
  </w:footnote>
  <w:footnote w:id="1">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color w:val="000000"/>
          <w:u w:color="000000"/>
        </w:rPr>
        <w:t> </w:t>
      </w:r>
      <w:r w:rsidRPr="00B5356D">
        <w:t xml:space="preserve">Tale dichiarazione è prevista, a pena di inammissibilità, e deve essere sottoscritta personalmente se l’interessato non è detenuto. </w:t>
      </w:r>
    </w:p>
  </w:footnote>
  <w:footnote w:id="2">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 xml:space="preserve">Nel caso in cui il condannato richieda l’affidamento in prova al servizio sociale i limiti di </w:t>
      </w:r>
      <w:r w:rsidRPr="00B5356D">
        <w:rPr>
          <w:spacing w:val="-2"/>
        </w:rPr>
        <w:t>pena da tenere in considerazione saranno quelli evidenziati dall’art. 47, commi 1 e 3</w:t>
      </w:r>
      <w:r w:rsidR="00B5356D" w:rsidRPr="00B5356D">
        <w:rPr>
          <w:i/>
          <w:spacing w:val="-2"/>
        </w:rPr>
        <w:t>-</w:t>
      </w:r>
      <w:r w:rsidR="00C15C01" w:rsidRPr="00B5356D">
        <w:rPr>
          <w:i/>
          <w:spacing w:val="-2"/>
        </w:rPr>
        <w:t>bis</w:t>
      </w:r>
      <w:r w:rsidR="00073FEC" w:rsidRPr="00B5356D">
        <w:rPr>
          <w:spacing w:val="-2"/>
        </w:rPr>
        <w:t>,</w:t>
      </w:r>
      <w:r w:rsidRPr="00B5356D">
        <w:rPr>
          <w:spacing w:val="-2"/>
        </w:rPr>
        <w:t xml:space="preserve"> </w:t>
      </w:r>
      <w:proofErr w:type="spellStart"/>
      <w:r w:rsidRPr="00B5356D">
        <w:rPr>
          <w:spacing w:val="-2"/>
        </w:rPr>
        <w:t>ord</w:t>
      </w:r>
      <w:proofErr w:type="spellEnd"/>
      <w:r w:rsidRPr="00B5356D">
        <w:rPr>
          <w:spacing w:val="-2"/>
        </w:rPr>
        <w:t xml:space="preserve">. </w:t>
      </w:r>
      <w:proofErr w:type="spellStart"/>
      <w:r w:rsidRPr="00B5356D">
        <w:rPr>
          <w:spacing w:val="-2"/>
        </w:rPr>
        <w:t>penit</w:t>
      </w:r>
      <w:proofErr w:type="spellEnd"/>
      <w:r w:rsidRPr="00B5356D">
        <w:rPr>
          <w:spacing w:val="-2"/>
        </w:rPr>
        <w:t>.;</w:t>
      </w:r>
      <w:r w:rsidRPr="00B5356D">
        <w:t xml:space="preserve"> dall’art. 94, </w:t>
      </w:r>
      <w:proofErr w:type="spellStart"/>
      <w:r w:rsidRPr="00B5356D">
        <w:t>d.p.r.</w:t>
      </w:r>
      <w:proofErr w:type="spellEnd"/>
      <w:r w:rsidRPr="00B5356D">
        <w:t xml:space="preserve"> n. 309 del 1990, nel caso di condannati tossico o </w:t>
      </w:r>
      <w:proofErr w:type="spellStart"/>
      <w:r w:rsidRPr="00B5356D">
        <w:t>alcooldipendenti</w:t>
      </w:r>
      <w:proofErr w:type="spellEnd"/>
      <w:r w:rsidRPr="00B5356D">
        <w:t>; nel caso in cui il condannato intenda richiedere la detenzione domiciliare, dovrà aversi riguardo ai limiti di pena di cui al</w:t>
      </w:r>
      <w:r w:rsidRPr="00B5356D">
        <w:softHyphen/>
        <w:t>l’art. 47</w:t>
      </w:r>
      <w:r w:rsidR="00B5356D" w:rsidRPr="00B5356D">
        <w:rPr>
          <w:i/>
        </w:rPr>
        <w:t>-</w:t>
      </w:r>
      <w:r w:rsidR="00C15C01" w:rsidRPr="00B5356D">
        <w:rPr>
          <w:i/>
          <w:iCs/>
        </w:rPr>
        <w:t>ter</w:t>
      </w:r>
      <w:r w:rsidR="00073FEC" w:rsidRPr="00B5356D">
        <w:t>,</w:t>
      </w:r>
      <w:r w:rsidRPr="00B5356D">
        <w:t xml:space="preserve"> commi 01, 1,1</w:t>
      </w:r>
      <w:r w:rsidR="00B5356D" w:rsidRPr="00B5356D">
        <w:rPr>
          <w:i/>
        </w:rPr>
        <w:t>-</w:t>
      </w:r>
      <w:r w:rsidR="00C15C01" w:rsidRPr="00B5356D">
        <w:rPr>
          <w:i/>
          <w:iCs/>
        </w:rPr>
        <w:t>bis</w:t>
      </w:r>
      <w:r w:rsidR="00C15C01" w:rsidRPr="00B5356D">
        <w:rPr>
          <w:i/>
        </w:rPr>
        <w:t xml:space="preserve"> </w:t>
      </w:r>
      <w:r w:rsidRPr="00B5356D">
        <w:t>e 1</w:t>
      </w:r>
      <w:r w:rsidR="00B5356D" w:rsidRPr="00B5356D">
        <w:rPr>
          <w:i/>
        </w:rPr>
        <w:t>-</w:t>
      </w:r>
      <w:r w:rsidR="00C15C01" w:rsidRPr="00B5356D">
        <w:rPr>
          <w:i/>
          <w:iCs/>
        </w:rPr>
        <w:t>ter</w:t>
      </w:r>
      <w:r w:rsidR="00073FEC" w:rsidRPr="00B5356D">
        <w:t>,</w:t>
      </w:r>
      <w:r w:rsidRPr="00B5356D">
        <w:t xml:space="preserve"> </w:t>
      </w:r>
      <w:proofErr w:type="spellStart"/>
      <w:r w:rsidRPr="00B5356D">
        <w:t>ord</w:t>
      </w:r>
      <w:proofErr w:type="spellEnd"/>
      <w:r w:rsidRPr="00B5356D">
        <w:t xml:space="preserve">. </w:t>
      </w:r>
      <w:proofErr w:type="spellStart"/>
      <w:r w:rsidRPr="00B5356D">
        <w:t>penit</w:t>
      </w:r>
      <w:proofErr w:type="spellEnd"/>
      <w:r w:rsidRPr="00B5356D">
        <w:t>.; nel caso in cui un condannato affetto da AIDS conclamata o da grave deficienza immunitaria intenda richiedere l’affidamento in prova al servizio sociale o la detenzione domiciliare, dovranno considerarsi i limiti stabiliti dall’art. 47</w:t>
      </w:r>
      <w:r w:rsidR="00B5356D" w:rsidRPr="00B5356D">
        <w:rPr>
          <w:i/>
        </w:rPr>
        <w:t>-</w:t>
      </w:r>
      <w:r w:rsidR="00C15C01" w:rsidRPr="00B5356D">
        <w:rPr>
          <w:i/>
          <w:iCs/>
        </w:rPr>
        <w:t>quater</w:t>
      </w:r>
      <w:r w:rsidR="00C15C01" w:rsidRPr="00B5356D">
        <w:rPr>
          <w:i/>
        </w:rPr>
        <w:t xml:space="preserve"> </w:t>
      </w:r>
      <w:proofErr w:type="spellStart"/>
      <w:r w:rsidRPr="00B5356D">
        <w:t>ord</w:t>
      </w:r>
      <w:proofErr w:type="spellEnd"/>
      <w:r w:rsidRPr="00B5356D">
        <w:t xml:space="preserve">. </w:t>
      </w:r>
      <w:proofErr w:type="spellStart"/>
      <w:r w:rsidRPr="00B5356D">
        <w:t>penit</w:t>
      </w:r>
      <w:proofErr w:type="spellEnd"/>
      <w:r w:rsidRPr="00B5356D">
        <w:t>.; se il condannato intende essere ammesso al re</w:t>
      </w:r>
      <w:r w:rsidRPr="00B5356D">
        <w:rPr>
          <w:spacing w:val="-2"/>
        </w:rPr>
        <w:t xml:space="preserve">gime di semilibertà, dovranno considerarsi i criteri di cui all’art. 50 </w:t>
      </w:r>
      <w:proofErr w:type="spellStart"/>
      <w:r w:rsidRPr="00B5356D">
        <w:rPr>
          <w:spacing w:val="-2"/>
        </w:rPr>
        <w:t>ord</w:t>
      </w:r>
      <w:proofErr w:type="spellEnd"/>
      <w:r w:rsidRPr="00B5356D">
        <w:rPr>
          <w:spacing w:val="-2"/>
        </w:rPr>
        <w:t xml:space="preserve">. </w:t>
      </w:r>
      <w:proofErr w:type="spellStart"/>
      <w:r w:rsidRPr="00B5356D">
        <w:rPr>
          <w:spacing w:val="-2"/>
        </w:rPr>
        <w:t>penit</w:t>
      </w:r>
      <w:proofErr w:type="spellEnd"/>
      <w:r w:rsidRPr="00B5356D">
        <w:rPr>
          <w:spacing w:val="-2"/>
        </w:rPr>
        <w:t xml:space="preserve">.; per quanto riguarda i </w:t>
      </w:r>
      <w:r w:rsidRPr="00B5356D">
        <w:rPr>
          <w:color w:val="000000"/>
          <w:spacing w:val="-2"/>
        </w:rPr>
        <w:t>condannati per i delitti di cui agli artt. 289</w:t>
      </w:r>
      <w:r w:rsidR="00B5356D" w:rsidRPr="00B5356D">
        <w:rPr>
          <w:i/>
          <w:color w:val="000000"/>
          <w:spacing w:val="-2"/>
        </w:rPr>
        <w:t>-</w:t>
      </w:r>
      <w:r w:rsidR="00C15C01" w:rsidRPr="00B5356D">
        <w:rPr>
          <w:i/>
          <w:iCs/>
          <w:color w:val="000000"/>
          <w:spacing w:val="-2"/>
        </w:rPr>
        <w:t>bis</w:t>
      </w:r>
      <w:r w:rsidR="00C15C01" w:rsidRPr="00B5356D">
        <w:rPr>
          <w:i/>
          <w:color w:val="000000"/>
          <w:spacing w:val="-2"/>
        </w:rPr>
        <w:t xml:space="preserve"> </w:t>
      </w:r>
      <w:r w:rsidRPr="00B5356D">
        <w:rPr>
          <w:color w:val="000000"/>
          <w:spacing w:val="-2"/>
        </w:rPr>
        <w:t>e 630 c.p., che abbiano cagionato la morte del sequestrato, dovrà averso riguardo ai limiti di pena stabiliti dal</w:t>
      </w:r>
      <w:r w:rsidRPr="00B5356D">
        <w:rPr>
          <w:color w:val="000000"/>
          <w:spacing w:val="-2"/>
        </w:rPr>
        <w:softHyphen/>
        <w:t>l’art. 58</w:t>
      </w:r>
      <w:r w:rsidR="00B5356D" w:rsidRPr="00B5356D">
        <w:rPr>
          <w:i/>
          <w:color w:val="000000"/>
          <w:spacing w:val="-2"/>
        </w:rPr>
        <w:t>-</w:t>
      </w:r>
      <w:r w:rsidR="00C15C01" w:rsidRPr="00B5356D">
        <w:rPr>
          <w:i/>
          <w:iCs/>
          <w:color w:val="000000"/>
          <w:spacing w:val="-2"/>
        </w:rPr>
        <w:t>quater</w:t>
      </w:r>
      <w:r w:rsidR="00073FEC" w:rsidRPr="00B5356D">
        <w:rPr>
          <w:color w:val="000000"/>
          <w:spacing w:val="-2"/>
        </w:rPr>
        <w:t>,</w:t>
      </w:r>
      <w:r w:rsidRPr="00B5356D">
        <w:rPr>
          <w:i/>
          <w:iCs/>
          <w:color w:val="000000"/>
          <w:spacing w:val="-2"/>
        </w:rPr>
        <w:t xml:space="preserve"> </w:t>
      </w:r>
      <w:r w:rsidRPr="00B5356D">
        <w:rPr>
          <w:color w:val="000000"/>
          <w:spacing w:val="-2"/>
        </w:rPr>
        <w:t xml:space="preserve">comma 4, </w:t>
      </w:r>
      <w:proofErr w:type="spellStart"/>
      <w:r w:rsidRPr="00B5356D">
        <w:rPr>
          <w:spacing w:val="-2"/>
        </w:rPr>
        <w:t>ord</w:t>
      </w:r>
      <w:proofErr w:type="spellEnd"/>
      <w:r w:rsidRPr="00B5356D">
        <w:rPr>
          <w:spacing w:val="-2"/>
        </w:rPr>
        <w:t xml:space="preserve">. </w:t>
      </w:r>
      <w:proofErr w:type="spellStart"/>
      <w:r w:rsidRPr="00B5356D">
        <w:rPr>
          <w:spacing w:val="-2"/>
        </w:rPr>
        <w:t>penit</w:t>
      </w:r>
      <w:proofErr w:type="spellEnd"/>
      <w:r w:rsidRPr="00B5356D">
        <w:rPr>
          <w:spacing w:val="-2"/>
        </w:rPr>
        <w:t>.</w:t>
      </w:r>
      <w:r w:rsidRPr="00B5356D">
        <w:rPr>
          <w:color w:val="000000"/>
          <w:spacing w:val="-2"/>
        </w:rPr>
        <w:t xml:space="preserve"> </w:t>
      </w:r>
    </w:p>
  </w:footnote>
  <w:footnote w:id="3">
    <w:p w:rsidR="00E77D82" w:rsidRPr="00B5356D" w:rsidRDefault="00E77D82" w:rsidP="00A9047F">
      <w:pPr>
        <w:pStyle w:val="Notaapipagina"/>
      </w:pPr>
      <w:r w:rsidRPr="00B5356D">
        <w:rPr>
          <w:rStyle w:val="Rimandonotaapidipagina"/>
        </w:rPr>
        <w:footnoteRef/>
      </w:r>
      <w:r w:rsidRPr="00B5356D">
        <w:t xml:space="preserve"> I detenuti e gli internati per i delitti di cui all’art. 4</w:t>
      </w:r>
      <w:r w:rsidR="00B5356D" w:rsidRPr="00B5356D">
        <w:rPr>
          <w:i/>
        </w:rPr>
        <w:t>-</w:t>
      </w:r>
      <w:r w:rsidR="00C15C01" w:rsidRPr="00B5356D">
        <w:rPr>
          <w:i/>
        </w:rPr>
        <w:t>bis</w:t>
      </w:r>
      <w:r w:rsidR="00073FEC" w:rsidRPr="00B5356D">
        <w:t>,</w:t>
      </w:r>
      <w:r w:rsidRPr="00B5356D">
        <w:t xml:space="preserve"> comma 1, </w:t>
      </w:r>
      <w:proofErr w:type="spellStart"/>
      <w:r w:rsidRPr="00B5356D">
        <w:t>ord</w:t>
      </w:r>
      <w:proofErr w:type="spellEnd"/>
      <w:r w:rsidRPr="00B5356D">
        <w:t xml:space="preserve">. </w:t>
      </w:r>
      <w:proofErr w:type="spellStart"/>
      <w:r w:rsidRPr="00B5356D">
        <w:t>penit</w:t>
      </w:r>
      <w:proofErr w:type="spellEnd"/>
      <w:r w:rsidRPr="00B5356D">
        <w:t>. possono accedere ai benefici premiali ed alle misure alternative alla detenzione solo qualora collaborino con la giustizia ai sensi dell’art. 58</w:t>
      </w:r>
      <w:r w:rsidR="00B5356D" w:rsidRPr="00B5356D">
        <w:rPr>
          <w:i/>
        </w:rPr>
        <w:t>-</w:t>
      </w:r>
      <w:r w:rsidR="00C15C01" w:rsidRPr="00B5356D">
        <w:rPr>
          <w:i/>
        </w:rPr>
        <w:t xml:space="preserve">ter </w:t>
      </w:r>
      <w:proofErr w:type="spellStart"/>
      <w:r w:rsidRPr="00B5356D">
        <w:t>ord</w:t>
      </w:r>
      <w:proofErr w:type="spellEnd"/>
      <w:r w:rsidRPr="00B5356D">
        <w:t xml:space="preserve">. </w:t>
      </w:r>
      <w:proofErr w:type="spellStart"/>
      <w:r w:rsidRPr="00B5356D">
        <w:t>penit</w:t>
      </w:r>
      <w:proofErr w:type="spellEnd"/>
      <w:r w:rsidRPr="00B5356D">
        <w:t xml:space="preserve">. Corte </w:t>
      </w:r>
      <w:proofErr w:type="spellStart"/>
      <w:r w:rsidRPr="00B5356D">
        <w:t>cost</w:t>
      </w:r>
      <w:proofErr w:type="spellEnd"/>
      <w:r w:rsidRPr="00B5356D">
        <w:t>. n. 239 del 2014 ha dichiarato costituzionalmente illegittimo l’art. 4</w:t>
      </w:r>
      <w:r w:rsidR="00B5356D" w:rsidRPr="00B5356D">
        <w:rPr>
          <w:i/>
        </w:rPr>
        <w:t>-</w:t>
      </w:r>
      <w:r w:rsidR="00C15C01" w:rsidRPr="00B5356D">
        <w:rPr>
          <w:i/>
        </w:rPr>
        <w:t>bis</w:t>
      </w:r>
      <w:r w:rsidR="00073FEC" w:rsidRPr="00B5356D">
        <w:t>,</w:t>
      </w:r>
      <w:r w:rsidRPr="00B5356D">
        <w:t xml:space="preserve"> comma 1, </w:t>
      </w:r>
      <w:proofErr w:type="spellStart"/>
      <w:r w:rsidRPr="00B5356D">
        <w:t>ord</w:t>
      </w:r>
      <w:proofErr w:type="spellEnd"/>
      <w:r w:rsidRPr="00B5356D">
        <w:t xml:space="preserve">. </w:t>
      </w:r>
      <w:proofErr w:type="spellStart"/>
      <w:r w:rsidRPr="00B5356D">
        <w:t>penit</w:t>
      </w:r>
      <w:proofErr w:type="spellEnd"/>
      <w:r w:rsidRPr="00B5356D">
        <w:t>., nella parte in cui non esclude dal divieto di concessione dei benefici penitenziari da esso stabilito, la misura della detenzione domiciliare speciale di cui all’art. 47</w:t>
      </w:r>
      <w:r w:rsidR="00B5356D" w:rsidRPr="00B5356D">
        <w:rPr>
          <w:i/>
        </w:rPr>
        <w:t>-</w:t>
      </w:r>
      <w:r w:rsidR="00C15C01" w:rsidRPr="00B5356D">
        <w:rPr>
          <w:i/>
        </w:rPr>
        <w:t xml:space="preserve">quinquies </w:t>
      </w:r>
      <w:proofErr w:type="spellStart"/>
      <w:r w:rsidRPr="00B5356D">
        <w:t>ord</w:t>
      </w:r>
      <w:proofErr w:type="spellEnd"/>
      <w:r w:rsidRPr="00B5356D">
        <w:t xml:space="preserve">. </w:t>
      </w:r>
      <w:proofErr w:type="spellStart"/>
      <w:r w:rsidRPr="00B5356D">
        <w:t>penit</w:t>
      </w:r>
      <w:proofErr w:type="spellEnd"/>
      <w:r w:rsidRPr="00B5356D">
        <w:t>. e la misura della detenzione domiciliare di cui all’art. 47</w:t>
      </w:r>
      <w:r w:rsidR="00B5356D" w:rsidRPr="00B5356D">
        <w:rPr>
          <w:i/>
        </w:rPr>
        <w:t>-</w:t>
      </w:r>
      <w:r w:rsidR="00C15C01" w:rsidRPr="00B5356D">
        <w:rPr>
          <w:i/>
        </w:rPr>
        <w:t>ter</w:t>
      </w:r>
      <w:r w:rsidR="00073FEC" w:rsidRPr="00B5356D">
        <w:t>,</w:t>
      </w:r>
      <w:r w:rsidRPr="00B5356D">
        <w:t xml:space="preserve"> comma 1, </w:t>
      </w:r>
      <w:proofErr w:type="spellStart"/>
      <w:r w:rsidRPr="00B5356D">
        <w:t>lett</w:t>
      </w:r>
      <w:proofErr w:type="spellEnd"/>
      <w:r w:rsidRPr="00B5356D">
        <w:t xml:space="preserve">. </w:t>
      </w:r>
      <w:r w:rsidRPr="00B5356D">
        <w:rPr>
          <w:i/>
        </w:rPr>
        <w:t>a</w:t>
      </w:r>
      <w:r w:rsidRPr="00B5356D">
        <w:t xml:space="preserve">) e </w:t>
      </w:r>
      <w:r w:rsidRPr="00B5356D">
        <w:rPr>
          <w:i/>
        </w:rPr>
        <w:t>b</w:t>
      </w:r>
      <w:r w:rsidRPr="00B5356D">
        <w:t xml:space="preserve">), </w:t>
      </w:r>
      <w:proofErr w:type="spellStart"/>
      <w:r w:rsidRPr="00B5356D">
        <w:t>ord</w:t>
      </w:r>
      <w:proofErr w:type="spellEnd"/>
      <w:r w:rsidRPr="00B5356D">
        <w:t xml:space="preserve">. </w:t>
      </w:r>
      <w:proofErr w:type="spellStart"/>
      <w:r w:rsidRPr="00B5356D">
        <w:t>penit</w:t>
      </w:r>
      <w:proofErr w:type="spellEnd"/>
      <w:r w:rsidRPr="00B5356D">
        <w:t xml:space="preserve">., ferma restando la condizione dell’insussistenza di un concreto pericolo di commissione di ulteriori delitti. </w:t>
      </w:r>
    </w:p>
  </w:footnote>
  <w:footnote w:id="4">
    <w:p w:rsidR="00E77D82" w:rsidRPr="00B5356D" w:rsidRDefault="00E77D82" w:rsidP="00A9047F">
      <w:pPr>
        <w:pStyle w:val="Notaapipagina"/>
      </w:pPr>
      <w:r w:rsidRPr="00B5356D">
        <w:rPr>
          <w:rStyle w:val="Rimandonotaapidipagina"/>
        </w:rPr>
        <w:footnoteRef/>
      </w:r>
      <w:r w:rsidRPr="00B5356D">
        <w:t xml:space="preserve"> I detenuti e gli internati per i delitti di cui all’art. 4</w:t>
      </w:r>
      <w:r w:rsidR="00B5356D" w:rsidRPr="00B5356D">
        <w:rPr>
          <w:i/>
        </w:rPr>
        <w:t>-</w:t>
      </w:r>
      <w:r w:rsidR="00C15C01" w:rsidRPr="00B5356D">
        <w:rPr>
          <w:i/>
        </w:rPr>
        <w:t>bis</w:t>
      </w:r>
      <w:r w:rsidR="00073FEC" w:rsidRPr="00B5356D">
        <w:t>,</w:t>
      </w:r>
      <w:r w:rsidRPr="00B5356D">
        <w:t xml:space="preserve"> comma 1</w:t>
      </w:r>
      <w:r w:rsidR="00B5356D" w:rsidRPr="00B5356D">
        <w:rPr>
          <w:i/>
        </w:rPr>
        <w:t>-</w:t>
      </w:r>
      <w:r w:rsidR="00C15C01" w:rsidRPr="00B5356D">
        <w:rPr>
          <w:i/>
        </w:rPr>
        <w:t>bis</w:t>
      </w:r>
      <w:r w:rsidR="00073FEC" w:rsidRPr="00B5356D">
        <w:t>,</w:t>
      </w:r>
      <w:r w:rsidRPr="00B5356D">
        <w:t xml:space="preserve"> </w:t>
      </w:r>
      <w:proofErr w:type="spellStart"/>
      <w:r w:rsidRPr="00B5356D">
        <w:t>ord</w:t>
      </w:r>
      <w:proofErr w:type="spellEnd"/>
      <w:r w:rsidRPr="00B5356D">
        <w:t xml:space="preserve">. </w:t>
      </w:r>
      <w:proofErr w:type="spellStart"/>
      <w:r w:rsidRPr="00B5356D">
        <w:t>penit</w:t>
      </w:r>
      <w:proofErr w:type="spellEnd"/>
      <w:r w:rsidRPr="00B5356D">
        <w:t xml:space="preserve">. possono accedere ai benefici premiali ed alle misure alternative alla detenzione solo qualora siano stati acquisiti elementi tali da escludere l’attualità di collegamenti con la criminalità organizzata, terroristica o eversiva, nei casi in cui la limitata partecipazione al fatto criminoso, accertata nella sentenza di condanna, ovvero l’integrale accertamento dei fatti e delle responsabilità, operato con sentenza irrevocabile, rendono comunque impossibile un’utile collaborazione con la giustizia, nonché nei casi in cui, anche se la collaborazione che viene offerta risulti oggettivamente irrilevante, nei confronti dei medesimi detenuti o internati sia stata applicata una delle circostanze attenuanti di cui all’art. 62, n. 6, c.p., anche qualora il risarcimento del danno sia avvenuto dopo la sentenza di condanna, dall’art. 114 e dall’art. 116, comma 2, c.p. </w:t>
      </w:r>
    </w:p>
  </w:footnote>
  <w:footnote w:id="5">
    <w:p w:rsidR="00E77D82" w:rsidRPr="00B5356D" w:rsidRDefault="00E77D82" w:rsidP="00A9047F">
      <w:pPr>
        <w:pStyle w:val="Notaapipagina"/>
        <w:rPr>
          <w:spacing w:val="-2"/>
        </w:rPr>
      </w:pPr>
      <w:r w:rsidRPr="00B5356D">
        <w:rPr>
          <w:rStyle w:val="Rimandonotaapidipagina"/>
          <w:spacing w:val="-2"/>
        </w:rPr>
        <w:footnoteRef/>
      </w:r>
      <w:r w:rsidRPr="00B5356D">
        <w:rPr>
          <w:spacing w:val="-2"/>
        </w:rPr>
        <w:t xml:space="preserve"> I detenuti e gli internati per i delitti di cui all’art. 4</w:t>
      </w:r>
      <w:r w:rsidR="00B5356D" w:rsidRPr="00B5356D">
        <w:rPr>
          <w:i/>
          <w:spacing w:val="-2"/>
        </w:rPr>
        <w:t>-</w:t>
      </w:r>
      <w:r w:rsidR="00C15C01" w:rsidRPr="00B5356D">
        <w:rPr>
          <w:i/>
          <w:spacing w:val="-2"/>
        </w:rPr>
        <w:t>bis</w:t>
      </w:r>
      <w:r w:rsidR="00073FEC" w:rsidRPr="00B5356D">
        <w:rPr>
          <w:spacing w:val="-2"/>
        </w:rPr>
        <w:t>,</w:t>
      </w:r>
      <w:r w:rsidRPr="00B5356D">
        <w:rPr>
          <w:spacing w:val="-2"/>
        </w:rPr>
        <w:t xml:space="preserve"> comma 1</w:t>
      </w:r>
      <w:r w:rsidR="00B5356D" w:rsidRPr="00B5356D">
        <w:rPr>
          <w:i/>
          <w:spacing w:val="-2"/>
        </w:rPr>
        <w:t>-</w:t>
      </w:r>
      <w:r w:rsidR="00C15C01" w:rsidRPr="00B5356D">
        <w:rPr>
          <w:i/>
          <w:spacing w:val="-2"/>
        </w:rPr>
        <w:t>ter</w:t>
      </w:r>
      <w:r w:rsidR="00073FEC" w:rsidRPr="00B5356D">
        <w:rPr>
          <w:spacing w:val="-2"/>
        </w:rPr>
        <w:t>,</w:t>
      </w:r>
      <w:r w:rsidRPr="00B5356D">
        <w:rPr>
          <w:spacing w:val="-2"/>
        </w:rPr>
        <w:t xml:space="preserve"> </w:t>
      </w:r>
      <w:proofErr w:type="spellStart"/>
      <w:r w:rsidRPr="00B5356D">
        <w:rPr>
          <w:spacing w:val="-2"/>
        </w:rPr>
        <w:t>ord</w:t>
      </w:r>
      <w:proofErr w:type="spellEnd"/>
      <w:r w:rsidRPr="00B5356D">
        <w:rPr>
          <w:spacing w:val="-2"/>
        </w:rPr>
        <w:t xml:space="preserve">. </w:t>
      </w:r>
      <w:proofErr w:type="spellStart"/>
      <w:r w:rsidRPr="00B5356D">
        <w:rPr>
          <w:spacing w:val="-2"/>
        </w:rPr>
        <w:t>penit</w:t>
      </w:r>
      <w:proofErr w:type="spellEnd"/>
      <w:r w:rsidRPr="00B5356D">
        <w:rPr>
          <w:spacing w:val="-2"/>
        </w:rPr>
        <w:t xml:space="preserve">. possono accedere ai benefici premiali ed alle misure alternative alla detenzione solo purché non vi siano elementi tali da far ritenere la sussistenza di collegamenti con la criminalità organizzata, terroristica o eversiva. </w:t>
      </w:r>
    </w:p>
  </w:footnote>
  <w:footnote w:id="6">
    <w:p w:rsidR="00E77D82" w:rsidRPr="00B5356D" w:rsidRDefault="00E77D82" w:rsidP="00A9047F">
      <w:pPr>
        <w:pStyle w:val="Notaapipagina"/>
      </w:pPr>
      <w:r w:rsidRPr="00B5356D">
        <w:rPr>
          <w:rStyle w:val="Rimandonotaapidipagina"/>
        </w:rPr>
        <w:footnoteRef/>
      </w:r>
      <w:r w:rsidRPr="00B5356D">
        <w:t xml:space="preserve"> I detenuti e gli internati per i delitti di cui all’art. 4</w:t>
      </w:r>
      <w:r w:rsidR="00B5356D" w:rsidRPr="00B5356D">
        <w:rPr>
          <w:i/>
        </w:rPr>
        <w:t>-</w:t>
      </w:r>
      <w:r w:rsidR="00C15C01" w:rsidRPr="00B5356D">
        <w:rPr>
          <w:i/>
        </w:rPr>
        <w:t>bis</w:t>
      </w:r>
      <w:r w:rsidR="00073FEC" w:rsidRPr="00B5356D">
        <w:t>,</w:t>
      </w:r>
      <w:r w:rsidRPr="00B5356D">
        <w:t xml:space="preserve"> comma 1</w:t>
      </w:r>
      <w:r w:rsidR="00B5356D" w:rsidRPr="00B5356D">
        <w:rPr>
          <w:i/>
        </w:rPr>
        <w:t>-</w:t>
      </w:r>
      <w:r w:rsidR="00C15C01" w:rsidRPr="00B5356D">
        <w:rPr>
          <w:i/>
        </w:rPr>
        <w:t>quater</w:t>
      </w:r>
      <w:r w:rsidR="00073FEC" w:rsidRPr="00B5356D">
        <w:t>,</w:t>
      </w:r>
      <w:r w:rsidRPr="00B5356D">
        <w:t xml:space="preserve"> </w:t>
      </w:r>
      <w:proofErr w:type="spellStart"/>
      <w:r w:rsidRPr="00B5356D">
        <w:t>ord</w:t>
      </w:r>
      <w:proofErr w:type="spellEnd"/>
      <w:r w:rsidRPr="00B5356D">
        <w:t xml:space="preserve">. </w:t>
      </w:r>
      <w:proofErr w:type="spellStart"/>
      <w:r w:rsidRPr="00B5356D">
        <w:t>penit</w:t>
      </w:r>
      <w:proofErr w:type="spellEnd"/>
      <w:r w:rsidRPr="00B5356D">
        <w:t xml:space="preserve">. possono accedere ai benefici premiali ed alle misure alternative alla detenzione solo sulla base dei risultati dell’osservazione scientifica della personalità condotta collegialmente per almeno un anno anche con la partecipazione degli esperti di cui all’art. 80, comma 4, </w:t>
      </w:r>
      <w:proofErr w:type="spellStart"/>
      <w:r w:rsidRPr="00B5356D">
        <w:t>ord</w:t>
      </w:r>
      <w:proofErr w:type="spellEnd"/>
      <w:r w:rsidRPr="00B5356D">
        <w:t xml:space="preserve">. </w:t>
      </w:r>
      <w:proofErr w:type="spellStart"/>
      <w:r w:rsidRPr="00B5356D">
        <w:t>penit</w:t>
      </w:r>
      <w:proofErr w:type="spellEnd"/>
      <w:r w:rsidRPr="00B5356D">
        <w:t>. Le predette regole non si estendono al delitto di cui all’art. 609</w:t>
      </w:r>
      <w:r w:rsidR="00B5356D" w:rsidRPr="00B5356D">
        <w:rPr>
          <w:i/>
        </w:rPr>
        <w:t>-</w:t>
      </w:r>
      <w:r w:rsidR="00C15C01" w:rsidRPr="00B5356D">
        <w:rPr>
          <w:i/>
        </w:rPr>
        <w:t xml:space="preserve">bis </w:t>
      </w:r>
      <w:r w:rsidRPr="00B5356D">
        <w:t>c.p. qualora risulti applicata la circostanza attenuante in esso contemplata.</w:t>
      </w:r>
    </w:p>
  </w:footnote>
  <w:footnote w:id="7">
    <w:p w:rsidR="00E77D82" w:rsidRPr="00B5356D" w:rsidRDefault="00E77D82" w:rsidP="00A9047F">
      <w:pPr>
        <w:pStyle w:val="Notaapipagina"/>
      </w:pPr>
      <w:r w:rsidRPr="00B5356D">
        <w:rPr>
          <w:rStyle w:val="Rimandonotaapidipagina"/>
        </w:rPr>
        <w:footnoteRef/>
      </w:r>
      <w:r w:rsidRPr="00B5356D">
        <w:t xml:space="preserve"> I detenuti e gli internati per i delitti di cui all’art. 4</w:t>
      </w:r>
      <w:r w:rsidR="00B5356D" w:rsidRPr="00B5356D">
        <w:rPr>
          <w:i/>
        </w:rPr>
        <w:t>-</w:t>
      </w:r>
      <w:r w:rsidR="00C15C01" w:rsidRPr="00B5356D">
        <w:rPr>
          <w:i/>
        </w:rPr>
        <w:t>bis</w:t>
      </w:r>
      <w:r w:rsidR="00073FEC" w:rsidRPr="00B5356D">
        <w:t>,</w:t>
      </w:r>
      <w:r w:rsidRPr="00B5356D">
        <w:t xml:space="preserve"> comma 1</w:t>
      </w:r>
      <w:r w:rsidR="00B5356D" w:rsidRPr="00B5356D">
        <w:rPr>
          <w:i/>
        </w:rPr>
        <w:t>-</w:t>
      </w:r>
      <w:r w:rsidR="00C15C01" w:rsidRPr="00B5356D">
        <w:rPr>
          <w:i/>
        </w:rPr>
        <w:t>quinquies</w:t>
      </w:r>
      <w:r w:rsidR="00073FEC" w:rsidRPr="00B5356D">
        <w:t>,</w:t>
      </w:r>
      <w:r w:rsidRPr="00B5356D">
        <w:t xml:space="preserve"> </w:t>
      </w:r>
      <w:proofErr w:type="spellStart"/>
      <w:r w:rsidRPr="00B5356D">
        <w:t>ord</w:t>
      </w:r>
      <w:proofErr w:type="spellEnd"/>
      <w:r w:rsidRPr="00B5356D">
        <w:t xml:space="preserve">. </w:t>
      </w:r>
      <w:proofErr w:type="spellStart"/>
      <w:r w:rsidRPr="00B5356D">
        <w:t>penit</w:t>
      </w:r>
      <w:proofErr w:type="spellEnd"/>
      <w:r w:rsidRPr="00B5356D">
        <w:t xml:space="preserve">., se commessi a danno di persona minorenne, possono accedere ai benefici premiali ed alle misure alternative alla detenzione, se il magistrato di sorveglianza o il </w:t>
      </w:r>
      <w:r w:rsidR="008B4293">
        <w:t>T</w:t>
      </w:r>
      <w:r w:rsidRPr="00B5356D">
        <w:t>ribunale di sorveglianza valuta la positiva partecipazione al programma di riabilitazione specifica di cui all’art. 13</w:t>
      </w:r>
      <w:r w:rsidR="00B5356D" w:rsidRPr="00B5356D">
        <w:rPr>
          <w:i/>
        </w:rPr>
        <w:t>-</w:t>
      </w:r>
      <w:r w:rsidR="00C15C01" w:rsidRPr="00B5356D">
        <w:rPr>
          <w:i/>
        </w:rPr>
        <w:t xml:space="preserve">bis </w:t>
      </w:r>
      <w:proofErr w:type="spellStart"/>
      <w:r w:rsidRPr="00B5356D">
        <w:t>ord</w:t>
      </w:r>
      <w:proofErr w:type="spellEnd"/>
      <w:r w:rsidRPr="00B5356D">
        <w:t xml:space="preserve">. </w:t>
      </w:r>
      <w:proofErr w:type="spellStart"/>
      <w:r w:rsidRPr="00B5356D">
        <w:t>penit</w:t>
      </w:r>
      <w:proofErr w:type="spellEnd"/>
      <w:r w:rsidRPr="00B5356D">
        <w:t>.</w:t>
      </w:r>
    </w:p>
  </w:footnote>
  <w:footnote w:id="8">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color w:val="000000"/>
          <w:u w:color="000000"/>
        </w:rPr>
        <w:t> </w:t>
      </w:r>
      <w:r w:rsidRPr="00B5356D">
        <w:t>Qualora, tuttavia, il condannato si sia reso responsabile di evasione, occorre siano trascorsi tre anni dal momento in cui è ripresa l’esecuzione della custodia ai fini della proposizione della richiesta di misura alternativa alla detenzione.</w:t>
      </w:r>
    </w:p>
  </w:footnote>
  <w:footnote w:id="9">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In ogni caso, se è stato emesso il provvedimento di revoca, occorre il decorso di tre anni ai fini della valida proposizione della richiesta di ammissione a misura alternativa alla detenzione.</w:t>
      </w:r>
    </w:p>
  </w:footnote>
  <w:footnote w:id="10">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 xml:space="preserve">Per quanto riguarda, in particolare, l’affidamento in prova ordinario, i presupposti necessari sono elencati dall’art. 47 </w:t>
      </w:r>
      <w:proofErr w:type="spellStart"/>
      <w:r w:rsidRPr="00B5356D">
        <w:rPr>
          <w:iCs/>
        </w:rPr>
        <w:t>ord</w:t>
      </w:r>
      <w:proofErr w:type="spellEnd"/>
      <w:r w:rsidRPr="00B5356D">
        <w:rPr>
          <w:iCs/>
        </w:rPr>
        <w:t xml:space="preserve">. </w:t>
      </w:r>
      <w:proofErr w:type="spellStart"/>
      <w:r w:rsidRPr="00B5356D">
        <w:rPr>
          <w:iCs/>
        </w:rPr>
        <w:t>penit</w:t>
      </w:r>
      <w:proofErr w:type="spellEnd"/>
      <w:r w:rsidRPr="00B5356D">
        <w:rPr>
          <w:iCs/>
        </w:rPr>
        <w:t>.</w:t>
      </w:r>
      <w:r w:rsidRPr="00B5356D">
        <w:t xml:space="preserve"> che, ai commi 2, 3 e 3</w:t>
      </w:r>
      <w:r w:rsidR="00B5356D" w:rsidRPr="00B5356D">
        <w:rPr>
          <w:i/>
        </w:rPr>
        <w:t>-</w:t>
      </w:r>
      <w:r w:rsidR="00C15C01" w:rsidRPr="00B5356D">
        <w:rPr>
          <w:i/>
        </w:rPr>
        <w:t xml:space="preserve">bis </w:t>
      </w:r>
      <w:r w:rsidRPr="00B5356D">
        <w:t>indica le modalità e la durata del</w:t>
      </w:r>
      <w:r w:rsidRPr="00B5356D">
        <w:softHyphen/>
        <w:t>l’os</w:t>
      </w:r>
      <w:r w:rsidRPr="00B5356D">
        <w:softHyphen/>
        <w:t>servazione della personalità. I presupposti oggettivi e soggettivi della detenzione domiciliare sono contenuti nell’art. 47</w:t>
      </w:r>
      <w:r w:rsidR="00B5356D" w:rsidRPr="00B5356D">
        <w:rPr>
          <w:i/>
        </w:rPr>
        <w:t>-</w:t>
      </w:r>
      <w:r w:rsidR="00C15C01" w:rsidRPr="00B5356D">
        <w:rPr>
          <w:i/>
          <w:iCs/>
        </w:rPr>
        <w:t>ter</w:t>
      </w:r>
      <w:r w:rsidR="00C15C01" w:rsidRPr="00B5356D">
        <w:rPr>
          <w:i/>
        </w:rPr>
        <w:t xml:space="preserve"> </w:t>
      </w:r>
      <w:proofErr w:type="spellStart"/>
      <w:r w:rsidRPr="00B5356D">
        <w:rPr>
          <w:iCs/>
        </w:rPr>
        <w:t>ord</w:t>
      </w:r>
      <w:proofErr w:type="spellEnd"/>
      <w:r w:rsidRPr="00B5356D">
        <w:rPr>
          <w:iCs/>
        </w:rPr>
        <w:t xml:space="preserve">. </w:t>
      </w:r>
      <w:proofErr w:type="spellStart"/>
      <w:r w:rsidRPr="00B5356D">
        <w:rPr>
          <w:iCs/>
        </w:rPr>
        <w:t>penit</w:t>
      </w:r>
      <w:proofErr w:type="spellEnd"/>
      <w:r w:rsidRPr="00B5356D">
        <w:rPr>
          <w:iCs/>
        </w:rPr>
        <w:t>.</w:t>
      </w:r>
      <w:r w:rsidRPr="00B5356D">
        <w:t>, che disciplina le varie forme della misura alternativa. L’art. 47</w:t>
      </w:r>
      <w:r w:rsidR="00B5356D" w:rsidRPr="00B5356D">
        <w:rPr>
          <w:i/>
        </w:rPr>
        <w:t>-</w:t>
      </w:r>
      <w:r w:rsidR="00C15C01" w:rsidRPr="00B5356D">
        <w:rPr>
          <w:i/>
          <w:iCs/>
        </w:rPr>
        <w:t xml:space="preserve">quater </w:t>
      </w:r>
      <w:proofErr w:type="spellStart"/>
      <w:r w:rsidRPr="00B5356D">
        <w:rPr>
          <w:iCs/>
        </w:rPr>
        <w:t>ord</w:t>
      </w:r>
      <w:proofErr w:type="spellEnd"/>
      <w:r w:rsidRPr="00B5356D">
        <w:rPr>
          <w:iCs/>
        </w:rPr>
        <w:t xml:space="preserve">. </w:t>
      </w:r>
      <w:proofErr w:type="spellStart"/>
      <w:r w:rsidRPr="00B5356D">
        <w:rPr>
          <w:iCs/>
        </w:rPr>
        <w:t>penit</w:t>
      </w:r>
      <w:proofErr w:type="spellEnd"/>
      <w:r w:rsidRPr="00B5356D">
        <w:rPr>
          <w:iCs/>
        </w:rPr>
        <w:t>.</w:t>
      </w:r>
      <w:r w:rsidRPr="00B5356D">
        <w:t xml:space="preserve"> indica, invece, i requisiti per l’ammissione a misura alternativa alla detenzione dei soggetti affetti da AIDS conclamata o da grave deficienza immunitaria. L’art. 50 </w:t>
      </w:r>
      <w:proofErr w:type="spellStart"/>
      <w:r w:rsidRPr="00B5356D">
        <w:rPr>
          <w:iCs/>
        </w:rPr>
        <w:t>ord</w:t>
      </w:r>
      <w:proofErr w:type="spellEnd"/>
      <w:r w:rsidRPr="00B5356D">
        <w:rPr>
          <w:iCs/>
        </w:rPr>
        <w:t xml:space="preserve">. </w:t>
      </w:r>
      <w:proofErr w:type="spellStart"/>
      <w:r w:rsidRPr="00B5356D">
        <w:rPr>
          <w:iCs/>
        </w:rPr>
        <w:t>penit</w:t>
      </w:r>
      <w:proofErr w:type="spellEnd"/>
      <w:r w:rsidRPr="00B5356D">
        <w:rPr>
          <w:iCs/>
        </w:rPr>
        <w:t>.</w:t>
      </w:r>
      <w:r w:rsidRPr="00B5356D">
        <w:t xml:space="preserve"> stabilisce i requisiti soggettivi ed oggettivi per l’ammissione al regime di semilibertà. L’art. 94, </w:t>
      </w:r>
      <w:proofErr w:type="spellStart"/>
      <w:r w:rsidRPr="00B5356D">
        <w:t>d.p.r.</w:t>
      </w:r>
      <w:proofErr w:type="spellEnd"/>
      <w:r w:rsidRPr="00B5356D">
        <w:t xml:space="preserve"> n. 309 del 1990 indica, infine, i requisiti dell’affidamento in prova in casi particolari, ovvero per tossicodipendenti o </w:t>
      </w:r>
      <w:proofErr w:type="spellStart"/>
      <w:r w:rsidRPr="00B5356D">
        <w:t>alcooldipendenti</w:t>
      </w:r>
      <w:proofErr w:type="spellEnd"/>
      <w:r w:rsidRPr="00B5356D">
        <w:t xml:space="preserve"> che hanno in corso un programma di recupero o che ad esso intendano sottoporsi. Ai sensi dell’art. 58</w:t>
      </w:r>
      <w:r w:rsidR="00B5356D" w:rsidRPr="00B5356D">
        <w:rPr>
          <w:i/>
        </w:rPr>
        <w:t>-</w:t>
      </w:r>
      <w:r w:rsidR="00C15C01" w:rsidRPr="00B5356D">
        <w:rPr>
          <w:i/>
          <w:iCs/>
        </w:rPr>
        <w:t>quater</w:t>
      </w:r>
      <w:r w:rsidR="00073FEC" w:rsidRPr="00B5356D">
        <w:t>,</w:t>
      </w:r>
      <w:r w:rsidRPr="00B5356D">
        <w:rPr>
          <w:i/>
          <w:iCs/>
        </w:rPr>
        <w:t xml:space="preserve"> </w:t>
      </w:r>
      <w:r w:rsidRPr="00B5356D">
        <w:t>comma 7</w:t>
      </w:r>
      <w:r w:rsidR="00B5356D" w:rsidRPr="00B5356D">
        <w:rPr>
          <w:i/>
        </w:rPr>
        <w:t>-</w:t>
      </w:r>
      <w:r w:rsidR="00C15C01" w:rsidRPr="00B5356D">
        <w:rPr>
          <w:i/>
          <w:iCs/>
        </w:rPr>
        <w:t>bis</w:t>
      </w:r>
      <w:r w:rsidR="00073FEC" w:rsidRPr="00B5356D">
        <w:t>,</w:t>
      </w:r>
      <w:r w:rsidRPr="00B5356D">
        <w:t xml:space="preserve"> </w:t>
      </w:r>
      <w:proofErr w:type="spellStart"/>
      <w:r w:rsidRPr="00B5356D">
        <w:rPr>
          <w:iCs/>
        </w:rPr>
        <w:t>ord</w:t>
      </w:r>
      <w:proofErr w:type="spellEnd"/>
      <w:r w:rsidRPr="00B5356D">
        <w:rPr>
          <w:iCs/>
        </w:rPr>
        <w:t xml:space="preserve">. </w:t>
      </w:r>
      <w:proofErr w:type="spellStart"/>
      <w:r w:rsidRPr="00B5356D">
        <w:rPr>
          <w:iCs/>
        </w:rPr>
        <w:t>penit</w:t>
      </w:r>
      <w:proofErr w:type="spellEnd"/>
      <w:r w:rsidRPr="00B5356D">
        <w:rPr>
          <w:iCs/>
        </w:rPr>
        <w:t>.</w:t>
      </w:r>
      <w:r w:rsidRPr="00B5356D">
        <w:t xml:space="preserve"> l’affidamento in prova ordinario, la detenzione domiciliare e la semilibertà non possono essere concessi più di una volta al condannato al quale sia stata applicata la recidiva prevista dall’art. 99, comma 4, c.p. C. </w:t>
      </w:r>
      <w:proofErr w:type="spellStart"/>
      <w:r w:rsidRPr="00B5356D">
        <w:t>cost</w:t>
      </w:r>
      <w:proofErr w:type="spellEnd"/>
      <w:r w:rsidRPr="00B5356D">
        <w:t>. n. 350 del 2003, ha sancito l’illegittimità costituzionale dell’art. 47</w:t>
      </w:r>
      <w:r w:rsidR="00B5356D" w:rsidRPr="00B5356D">
        <w:rPr>
          <w:i/>
        </w:rPr>
        <w:t>-</w:t>
      </w:r>
      <w:r w:rsidR="00C15C01" w:rsidRPr="00B5356D">
        <w:rPr>
          <w:i/>
          <w:iCs/>
        </w:rPr>
        <w:t>ter</w:t>
      </w:r>
      <w:r w:rsidR="00073FEC" w:rsidRPr="00B5356D">
        <w:t>,</w:t>
      </w:r>
      <w:r w:rsidRPr="00B5356D">
        <w:t xml:space="preserve"> comma 1, </w:t>
      </w:r>
      <w:proofErr w:type="spellStart"/>
      <w:r w:rsidRPr="00B5356D">
        <w:t>lett</w:t>
      </w:r>
      <w:proofErr w:type="spellEnd"/>
      <w:r w:rsidRPr="00B5356D">
        <w:t xml:space="preserve">. </w:t>
      </w:r>
      <w:r w:rsidRPr="00B5356D">
        <w:rPr>
          <w:i/>
          <w:iCs/>
        </w:rPr>
        <w:t>a</w:t>
      </w:r>
      <w:r w:rsidRPr="00B5356D">
        <w:rPr>
          <w:iCs/>
        </w:rPr>
        <w:t>)</w:t>
      </w:r>
      <w:r w:rsidRPr="00B5356D">
        <w:t xml:space="preserve">, </w:t>
      </w:r>
      <w:proofErr w:type="spellStart"/>
      <w:r w:rsidRPr="00B5356D">
        <w:rPr>
          <w:iCs/>
        </w:rPr>
        <w:t>ord</w:t>
      </w:r>
      <w:proofErr w:type="spellEnd"/>
      <w:r w:rsidRPr="00B5356D">
        <w:rPr>
          <w:iCs/>
        </w:rPr>
        <w:t xml:space="preserve">. </w:t>
      </w:r>
      <w:proofErr w:type="spellStart"/>
      <w:r w:rsidRPr="00B5356D">
        <w:rPr>
          <w:iCs/>
        </w:rPr>
        <w:t>penit</w:t>
      </w:r>
      <w:proofErr w:type="spellEnd"/>
      <w:r w:rsidRPr="00B5356D">
        <w:rPr>
          <w:iCs/>
        </w:rPr>
        <w:t>.</w:t>
      </w:r>
      <w:r w:rsidRPr="00B5356D">
        <w:t xml:space="preserve">, nella parte in cui non prevede la concessione della detenzione domiciliare anche nei confronti della madre condannata, e, nei casi previsti dal comma 1, </w:t>
      </w:r>
      <w:proofErr w:type="spellStart"/>
      <w:r w:rsidRPr="00B5356D">
        <w:t>lett</w:t>
      </w:r>
      <w:proofErr w:type="spellEnd"/>
      <w:r w:rsidRPr="00B5356D">
        <w:t xml:space="preserve">. </w:t>
      </w:r>
      <w:r w:rsidRPr="00B5356D">
        <w:rPr>
          <w:i/>
        </w:rPr>
        <w:t>b</w:t>
      </w:r>
      <w:r w:rsidRPr="00B5356D">
        <w:t xml:space="preserve">), del padre condannato, conviventi con un figlio portatore di </w:t>
      </w:r>
      <w:r w:rsidRPr="00B5356D">
        <w:rPr>
          <w:i/>
        </w:rPr>
        <w:t>handicap</w:t>
      </w:r>
      <w:r w:rsidRPr="00B5356D">
        <w:t xml:space="preserve"> totalmente invalidante, per contrasto con l’art. 3 </w:t>
      </w:r>
      <w:proofErr w:type="spellStart"/>
      <w:r w:rsidRPr="00B5356D">
        <w:t>Cost</w:t>
      </w:r>
      <w:proofErr w:type="spellEnd"/>
      <w:r w:rsidRPr="00B5356D">
        <w:t>., il cui scopo è quello di rimuovere gli ostacoli di ordine sociale che impediscono il pieno sviluppo della personalità, con il principio di ragionevolezza e per difformità rispetto a situazioni familiari analoghe e tra loro equiparabili.</w:t>
      </w:r>
    </w:p>
  </w:footnote>
  <w:footnote w:id="11">
    <w:p w:rsidR="00E77D82" w:rsidRPr="00B5356D" w:rsidRDefault="00E77D82" w:rsidP="00A9047F">
      <w:pPr>
        <w:pStyle w:val="Notaapipagina"/>
      </w:pPr>
      <w:r w:rsidRPr="00B5356D">
        <w:rPr>
          <w:rStyle w:val="Rimandonotaapidipagina"/>
        </w:rPr>
        <w:footnoteRef/>
      </w:r>
      <w:r w:rsidRPr="00B5356D">
        <w:t xml:space="preserve"> Le disposizioni che consentono siffatto potere in capo al magistrato di sorveglianza sono: l’art. 47, comma 4, </w:t>
      </w:r>
      <w:proofErr w:type="spellStart"/>
      <w:r w:rsidRPr="00B5356D">
        <w:t>ord</w:t>
      </w:r>
      <w:proofErr w:type="spellEnd"/>
      <w:r w:rsidRPr="00B5356D">
        <w:t xml:space="preserve">. </w:t>
      </w:r>
      <w:proofErr w:type="spellStart"/>
      <w:r w:rsidRPr="00B5356D">
        <w:t>penit</w:t>
      </w:r>
      <w:proofErr w:type="spellEnd"/>
      <w:r w:rsidRPr="00B5356D">
        <w:t>.; l’art. 47</w:t>
      </w:r>
      <w:r w:rsidR="00B5356D" w:rsidRPr="00B5356D">
        <w:rPr>
          <w:i/>
        </w:rPr>
        <w:t>-</w:t>
      </w:r>
      <w:r w:rsidR="00C15C01" w:rsidRPr="00B5356D">
        <w:rPr>
          <w:i/>
        </w:rPr>
        <w:t>ter</w:t>
      </w:r>
      <w:r w:rsidR="00073FEC" w:rsidRPr="00B5356D">
        <w:t>,</w:t>
      </w:r>
      <w:r w:rsidRPr="00B5356D">
        <w:t xml:space="preserve"> comma 1</w:t>
      </w:r>
      <w:r w:rsidR="00B5356D" w:rsidRPr="00B5356D">
        <w:rPr>
          <w:i/>
        </w:rPr>
        <w:t>-</w:t>
      </w:r>
      <w:r w:rsidR="00C15C01" w:rsidRPr="00B5356D">
        <w:rPr>
          <w:i/>
        </w:rPr>
        <w:t>quater</w:t>
      </w:r>
      <w:r w:rsidR="00073FEC" w:rsidRPr="00B5356D">
        <w:t>,</w:t>
      </w:r>
      <w:r w:rsidRPr="00B5356D">
        <w:t xml:space="preserve"> </w:t>
      </w:r>
      <w:proofErr w:type="spellStart"/>
      <w:r w:rsidRPr="00B5356D">
        <w:t>ord</w:t>
      </w:r>
      <w:proofErr w:type="spellEnd"/>
      <w:r w:rsidRPr="00B5356D">
        <w:t xml:space="preserve">. </w:t>
      </w:r>
      <w:proofErr w:type="spellStart"/>
      <w:r w:rsidRPr="00B5356D">
        <w:t>penit</w:t>
      </w:r>
      <w:proofErr w:type="spellEnd"/>
      <w:r w:rsidRPr="00B5356D">
        <w:t>.; l’art. 47</w:t>
      </w:r>
      <w:r w:rsidR="00B5356D" w:rsidRPr="00B5356D">
        <w:rPr>
          <w:i/>
        </w:rPr>
        <w:t>-</w:t>
      </w:r>
      <w:r w:rsidR="00C15C01" w:rsidRPr="00B5356D">
        <w:rPr>
          <w:i/>
        </w:rPr>
        <w:t>quater</w:t>
      </w:r>
      <w:r w:rsidR="00073FEC" w:rsidRPr="00B5356D">
        <w:t>,</w:t>
      </w:r>
      <w:r w:rsidRPr="00B5356D">
        <w:t xml:space="preserve"> comma 8, </w:t>
      </w:r>
      <w:proofErr w:type="spellStart"/>
      <w:r w:rsidRPr="00B5356D">
        <w:t>ord</w:t>
      </w:r>
      <w:proofErr w:type="spellEnd"/>
      <w:r w:rsidRPr="00B5356D">
        <w:t xml:space="preserve">. </w:t>
      </w:r>
      <w:proofErr w:type="spellStart"/>
      <w:r w:rsidRPr="00B5356D">
        <w:t>penit</w:t>
      </w:r>
      <w:proofErr w:type="spellEnd"/>
      <w:r w:rsidRPr="00B5356D">
        <w:t xml:space="preserve">.; l’art. 50, comma 6, </w:t>
      </w:r>
      <w:proofErr w:type="spellStart"/>
      <w:r w:rsidRPr="00B5356D">
        <w:t>ord</w:t>
      </w:r>
      <w:proofErr w:type="spellEnd"/>
      <w:r w:rsidRPr="00B5356D">
        <w:t xml:space="preserve">. </w:t>
      </w:r>
      <w:proofErr w:type="spellStart"/>
      <w:r w:rsidRPr="00B5356D">
        <w:t>penit</w:t>
      </w:r>
      <w:proofErr w:type="spellEnd"/>
      <w:r w:rsidRPr="00B5356D">
        <w:t xml:space="preserve">.; l’art. 91, comma 2, </w:t>
      </w:r>
      <w:proofErr w:type="spellStart"/>
      <w:r w:rsidRPr="00B5356D">
        <w:t>d.p.r.</w:t>
      </w:r>
      <w:proofErr w:type="spellEnd"/>
      <w:r w:rsidRPr="00B5356D">
        <w:t xml:space="preserve"> n. 309 del 1990; art. 94, comma 2, </w:t>
      </w:r>
      <w:proofErr w:type="spellStart"/>
      <w:r w:rsidRPr="00B5356D">
        <w:t>d.p.r.</w:t>
      </w:r>
      <w:proofErr w:type="spellEnd"/>
      <w:r w:rsidRPr="00B5356D">
        <w:t xml:space="preserve"> n. 309 del 1990.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D82" w:rsidRPr="007515B1" w:rsidRDefault="00E77D82" w:rsidP="007515B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D82" w:rsidRDefault="00E77D82"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B1" w:rsidRDefault="007515B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07C03"/>
    <w:rsid w:val="00026173"/>
    <w:rsid w:val="00042C8B"/>
    <w:rsid w:val="0004427C"/>
    <w:rsid w:val="00052F04"/>
    <w:rsid w:val="00057D43"/>
    <w:rsid w:val="000625B7"/>
    <w:rsid w:val="00073FEC"/>
    <w:rsid w:val="000B3562"/>
    <w:rsid w:val="000B3932"/>
    <w:rsid w:val="000C33AA"/>
    <w:rsid w:val="000C394F"/>
    <w:rsid w:val="000E375D"/>
    <w:rsid w:val="00103859"/>
    <w:rsid w:val="001148B4"/>
    <w:rsid w:val="00115BF0"/>
    <w:rsid w:val="00116557"/>
    <w:rsid w:val="00136BD5"/>
    <w:rsid w:val="001571E4"/>
    <w:rsid w:val="00160F26"/>
    <w:rsid w:val="00182A74"/>
    <w:rsid w:val="00185D1E"/>
    <w:rsid w:val="0018745C"/>
    <w:rsid w:val="00187F07"/>
    <w:rsid w:val="001A00F1"/>
    <w:rsid w:val="001A75ED"/>
    <w:rsid w:val="001B1D80"/>
    <w:rsid w:val="001B5EAC"/>
    <w:rsid w:val="001B7DB2"/>
    <w:rsid w:val="001E71F0"/>
    <w:rsid w:val="001F5F4C"/>
    <w:rsid w:val="001F7563"/>
    <w:rsid w:val="002012CC"/>
    <w:rsid w:val="0021303E"/>
    <w:rsid w:val="002329A4"/>
    <w:rsid w:val="00234647"/>
    <w:rsid w:val="0023575D"/>
    <w:rsid w:val="00246703"/>
    <w:rsid w:val="00266FAE"/>
    <w:rsid w:val="00272F0D"/>
    <w:rsid w:val="002738C9"/>
    <w:rsid w:val="00277093"/>
    <w:rsid w:val="0029322A"/>
    <w:rsid w:val="002A43B7"/>
    <w:rsid w:val="002A5046"/>
    <w:rsid w:val="002A5519"/>
    <w:rsid w:val="002C4548"/>
    <w:rsid w:val="002C49DA"/>
    <w:rsid w:val="002D7F74"/>
    <w:rsid w:val="002E7219"/>
    <w:rsid w:val="002F08F1"/>
    <w:rsid w:val="002F2CB9"/>
    <w:rsid w:val="002F46F9"/>
    <w:rsid w:val="00302D8E"/>
    <w:rsid w:val="003040CC"/>
    <w:rsid w:val="0031069A"/>
    <w:rsid w:val="003178E8"/>
    <w:rsid w:val="003212AC"/>
    <w:rsid w:val="003341F4"/>
    <w:rsid w:val="00342404"/>
    <w:rsid w:val="00353578"/>
    <w:rsid w:val="00355020"/>
    <w:rsid w:val="00356667"/>
    <w:rsid w:val="0037282E"/>
    <w:rsid w:val="00390B4B"/>
    <w:rsid w:val="003B69D6"/>
    <w:rsid w:val="003B6C64"/>
    <w:rsid w:val="003C70F2"/>
    <w:rsid w:val="003F0011"/>
    <w:rsid w:val="0040145D"/>
    <w:rsid w:val="004058F6"/>
    <w:rsid w:val="00411911"/>
    <w:rsid w:val="0041352E"/>
    <w:rsid w:val="00416841"/>
    <w:rsid w:val="0042440B"/>
    <w:rsid w:val="00436FE8"/>
    <w:rsid w:val="0044568F"/>
    <w:rsid w:val="00445D23"/>
    <w:rsid w:val="00447EA0"/>
    <w:rsid w:val="00452DFF"/>
    <w:rsid w:val="00453CD7"/>
    <w:rsid w:val="0045770A"/>
    <w:rsid w:val="0047127F"/>
    <w:rsid w:val="004772B7"/>
    <w:rsid w:val="0048140E"/>
    <w:rsid w:val="00483D7E"/>
    <w:rsid w:val="00484006"/>
    <w:rsid w:val="00490861"/>
    <w:rsid w:val="0049479E"/>
    <w:rsid w:val="00495E04"/>
    <w:rsid w:val="004A3E08"/>
    <w:rsid w:val="004C73A6"/>
    <w:rsid w:val="004D00C5"/>
    <w:rsid w:val="004E7DC4"/>
    <w:rsid w:val="004F5617"/>
    <w:rsid w:val="00512A84"/>
    <w:rsid w:val="005224AF"/>
    <w:rsid w:val="00532064"/>
    <w:rsid w:val="00534902"/>
    <w:rsid w:val="00541E69"/>
    <w:rsid w:val="00552742"/>
    <w:rsid w:val="00553119"/>
    <w:rsid w:val="00562A61"/>
    <w:rsid w:val="0057045E"/>
    <w:rsid w:val="00570BE5"/>
    <w:rsid w:val="00580036"/>
    <w:rsid w:val="00583EA9"/>
    <w:rsid w:val="0058757A"/>
    <w:rsid w:val="00591956"/>
    <w:rsid w:val="00596E9F"/>
    <w:rsid w:val="00597B2C"/>
    <w:rsid w:val="005A03A9"/>
    <w:rsid w:val="005B7EA8"/>
    <w:rsid w:val="005E082B"/>
    <w:rsid w:val="005E0FE9"/>
    <w:rsid w:val="005E1D4E"/>
    <w:rsid w:val="005F0A89"/>
    <w:rsid w:val="005F7DE6"/>
    <w:rsid w:val="005F7F44"/>
    <w:rsid w:val="006007E6"/>
    <w:rsid w:val="0060316E"/>
    <w:rsid w:val="00612527"/>
    <w:rsid w:val="00620DB6"/>
    <w:rsid w:val="006233F3"/>
    <w:rsid w:val="00625790"/>
    <w:rsid w:val="006346D8"/>
    <w:rsid w:val="00636609"/>
    <w:rsid w:val="006534D4"/>
    <w:rsid w:val="006544E2"/>
    <w:rsid w:val="00654F45"/>
    <w:rsid w:val="00660598"/>
    <w:rsid w:val="006745BF"/>
    <w:rsid w:val="00675199"/>
    <w:rsid w:val="006844D6"/>
    <w:rsid w:val="0068589A"/>
    <w:rsid w:val="0069030D"/>
    <w:rsid w:val="00692BF5"/>
    <w:rsid w:val="006A4DF4"/>
    <w:rsid w:val="006A734F"/>
    <w:rsid w:val="006B0D61"/>
    <w:rsid w:val="006C22D9"/>
    <w:rsid w:val="006D1867"/>
    <w:rsid w:val="006E0166"/>
    <w:rsid w:val="006F03ED"/>
    <w:rsid w:val="006F2325"/>
    <w:rsid w:val="006F3548"/>
    <w:rsid w:val="006F69F4"/>
    <w:rsid w:val="00700F9E"/>
    <w:rsid w:val="00701CB7"/>
    <w:rsid w:val="0070298A"/>
    <w:rsid w:val="007121D8"/>
    <w:rsid w:val="00730D8D"/>
    <w:rsid w:val="00730EC3"/>
    <w:rsid w:val="007326D3"/>
    <w:rsid w:val="0073691D"/>
    <w:rsid w:val="00746538"/>
    <w:rsid w:val="0074785F"/>
    <w:rsid w:val="007515B1"/>
    <w:rsid w:val="00761B60"/>
    <w:rsid w:val="00765080"/>
    <w:rsid w:val="007663CA"/>
    <w:rsid w:val="007664F6"/>
    <w:rsid w:val="00772792"/>
    <w:rsid w:val="00775613"/>
    <w:rsid w:val="00775C97"/>
    <w:rsid w:val="007812B6"/>
    <w:rsid w:val="007943D2"/>
    <w:rsid w:val="007A01F7"/>
    <w:rsid w:val="007A6513"/>
    <w:rsid w:val="007B078B"/>
    <w:rsid w:val="007C1D50"/>
    <w:rsid w:val="007C5D21"/>
    <w:rsid w:val="007E2132"/>
    <w:rsid w:val="007E38D9"/>
    <w:rsid w:val="007E79B6"/>
    <w:rsid w:val="0082617E"/>
    <w:rsid w:val="00830352"/>
    <w:rsid w:val="00833DD3"/>
    <w:rsid w:val="008416A1"/>
    <w:rsid w:val="00854D89"/>
    <w:rsid w:val="00862974"/>
    <w:rsid w:val="00881C16"/>
    <w:rsid w:val="00882AB0"/>
    <w:rsid w:val="008849FF"/>
    <w:rsid w:val="00893CA6"/>
    <w:rsid w:val="00894761"/>
    <w:rsid w:val="00896B0F"/>
    <w:rsid w:val="008B189F"/>
    <w:rsid w:val="008B4293"/>
    <w:rsid w:val="008C26C8"/>
    <w:rsid w:val="008C7B7B"/>
    <w:rsid w:val="008D6DA2"/>
    <w:rsid w:val="008F0D74"/>
    <w:rsid w:val="008F1ACA"/>
    <w:rsid w:val="008F3CC7"/>
    <w:rsid w:val="008F6DF4"/>
    <w:rsid w:val="0091400B"/>
    <w:rsid w:val="00921774"/>
    <w:rsid w:val="0093177E"/>
    <w:rsid w:val="00933E85"/>
    <w:rsid w:val="009357A2"/>
    <w:rsid w:val="00937C18"/>
    <w:rsid w:val="0094449B"/>
    <w:rsid w:val="009539F3"/>
    <w:rsid w:val="009632C5"/>
    <w:rsid w:val="00966FF8"/>
    <w:rsid w:val="00967B22"/>
    <w:rsid w:val="00972A19"/>
    <w:rsid w:val="00973015"/>
    <w:rsid w:val="00976711"/>
    <w:rsid w:val="009840A3"/>
    <w:rsid w:val="009B598D"/>
    <w:rsid w:val="009C0A1E"/>
    <w:rsid w:val="009C77D1"/>
    <w:rsid w:val="009D4BF7"/>
    <w:rsid w:val="009D67AE"/>
    <w:rsid w:val="009E1E4A"/>
    <w:rsid w:val="009E543D"/>
    <w:rsid w:val="00A0055C"/>
    <w:rsid w:val="00A07FC2"/>
    <w:rsid w:val="00A2118C"/>
    <w:rsid w:val="00A22655"/>
    <w:rsid w:val="00A60657"/>
    <w:rsid w:val="00A6074F"/>
    <w:rsid w:val="00A706EC"/>
    <w:rsid w:val="00A84308"/>
    <w:rsid w:val="00A9047F"/>
    <w:rsid w:val="00A91F63"/>
    <w:rsid w:val="00AB03D6"/>
    <w:rsid w:val="00AB73DB"/>
    <w:rsid w:val="00AC7BCC"/>
    <w:rsid w:val="00AE1D83"/>
    <w:rsid w:val="00AF30EA"/>
    <w:rsid w:val="00B16B93"/>
    <w:rsid w:val="00B32178"/>
    <w:rsid w:val="00B3445A"/>
    <w:rsid w:val="00B366EE"/>
    <w:rsid w:val="00B44764"/>
    <w:rsid w:val="00B5356D"/>
    <w:rsid w:val="00B542A1"/>
    <w:rsid w:val="00B65062"/>
    <w:rsid w:val="00B70EC1"/>
    <w:rsid w:val="00B9216E"/>
    <w:rsid w:val="00BC75D6"/>
    <w:rsid w:val="00BD6FB0"/>
    <w:rsid w:val="00BF4AF7"/>
    <w:rsid w:val="00C03C67"/>
    <w:rsid w:val="00C12C42"/>
    <w:rsid w:val="00C137EB"/>
    <w:rsid w:val="00C15C01"/>
    <w:rsid w:val="00C161E1"/>
    <w:rsid w:val="00C2203B"/>
    <w:rsid w:val="00C274BF"/>
    <w:rsid w:val="00C3392E"/>
    <w:rsid w:val="00C339DF"/>
    <w:rsid w:val="00C448E8"/>
    <w:rsid w:val="00C54484"/>
    <w:rsid w:val="00C6004F"/>
    <w:rsid w:val="00C678AA"/>
    <w:rsid w:val="00C72880"/>
    <w:rsid w:val="00C74914"/>
    <w:rsid w:val="00C75B2B"/>
    <w:rsid w:val="00C7738D"/>
    <w:rsid w:val="00C8036C"/>
    <w:rsid w:val="00C83170"/>
    <w:rsid w:val="00C870CC"/>
    <w:rsid w:val="00CA2895"/>
    <w:rsid w:val="00CA4CC9"/>
    <w:rsid w:val="00CA65CC"/>
    <w:rsid w:val="00CA6C63"/>
    <w:rsid w:val="00CB0897"/>
    <w:rsid w:val="00CB331B"/>
    <w:rsid w:val="00CB6ECD"/>
    <w:rsid w:val="00CC015F"/>
    <w:rsid w:val="00CD45AF"/>
    <w:rsid w:val="00CD5C2B"/>
    <w:rsid w:val="00CE28C8"/>
    <w:rsid w:val="00CF2003"/>
    <w:rsid w:val="00D0114D"/>
    <w:rsid w:val="00D012CB"/>
    <w:rsid w:val="00D1310D"/>
    <w:rsid w:val="00D2352E"/>
    <w:rsid w:val="00D252B9"/>
    <w:rsid w:val="00D2707F"/>
    <w:rsid w:val="00D465B0"/>
    <w:rsid w:val="00D46EDF"/>
    <w:rsid w:val="00D475B7"/>
    <w:rsid w:val="00D50A84"/>
    <w:rsid w:val="00D7166A"/>
    <w:rsid w:val="00D73BC6"/>
    <w:rsid w:val="00D76037"/>
    <w:rsid w:val="00D9164F"/>
    <w:rsid w:val="00D925C4"/>
    <w:rsid w:val="00DA69B8"/>
    <w:rsid w:val="00DA713B"/>
    <w:rsid w:val="00DC53D8"/>
    <w:rsid w:val="00DD44AA"/>
    <w:rsid w:val="00DE2519"/>
    <w:rsid w:val="00E02035"/>
    <w:rsid w:val="00E0277F"/>
    <w:rsid w:val="00E11D61"/>
    <w:rsid w:val="00E14D6A"/>
    <w:rsid w:val="00E22556"/>
    <w:rsid w:val="00E236F3"/>
    <w:rsid w:val="00E27A6C"/>
    <w:rsid w:val="00E35391"/>
    <w:rsid w:val="00E35882"/>
    <w:rsid w:val="00E512B9"/>
    <w:rsid w:val="00E6162E"/>
    <w:rsid w:val="00E77D82"/>
    <w:rsid w:val="00E9363C"/>
    <w:rsid w:val="00E96E43"/>
    <w:rsid w:val="00EA1944"/>
    <w:rsid w:val="00EA3249"/>
    <w:rsid w:val="00EA3B7B"/>
    <w:rsid w:val="00EB3B03"/>
    <w:rsid w:val="00EB5406"/>
    <w:rsid w:val="00EC175C"/>
    <w:rsid w:val="00EC45CD"/>
    <w:rsid w:val="00EE5575"/>
    <w:rsid w:val="00F00D40"/>
    <w:rsid w:val="00F139CC"/>
    <w:rsid w:val="00F15B95"/>
    <w:rsid w:val="00F21CE2"/>
    <w:rsid w:val="00F30D2C"/>
    <w:rsid w:val="00F34B50"/>
    <w:rsid w:val="00F3742D"/>
    <w:rsid w:val="00F47E4C"/>
    <w:rsid w:val="00F52E18"/>
    <w:rsid w:val="00F55B4C"/>
    <w:rsid w:val="00F62B18"/>
    <w:rsid w:val="00F649C3"/>
    <w:rsid w:val="00F73B75"/>
    <w:rsid w:val="00F76A29"/>
    <w:rsid w:val="00F85B89"/>
    <w:rsid w:val="00F85F38"/>
    <w:rsid w:val="00F866C4"/>
    <w:rsid w:val="00F90EBB"/>
    <w:rsid w:val="00FA19BF"/>
    <w:rsid w:val="00FA6E34"/>
    <w:rsid w:val="00FA6FB3"/>
    <w:rsid w:val="00FB5388"/>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D564F74-5A4D-4C02-ACC0-AAA3B8CF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link w:val="Titolo1Carattere"/>
    <w:uiPriority w:val="99"/>
    <w:qFormat/>
    <w:rsid w:val="008F0D74"/>
    <w:pPr>
      <w:keepNext/>
      <w:outlineLvl w:val="0"/>
    </w:pPr>
    <w:rPr>
      <w:sz w:val="24"/>
      <w:szCs w:val="24"/>
    </w:rPr>
  </w:style>
  <w:style w:type="paragraph" w:styleId="Titolo2">
    <w:name w:val="heading 2"/>
    <w:basedOn w:val="Normale"/>
    <w:next w:val="Normale"/>
    <w:link w:val="Titolo2Carattere"/>
    <w:uiPriority w:val="99"/>
    <w:qFormat/>
    <w:rsid w:val="008F0D74"/>
    <w:pPr>
      <w:keepNext/>
      <w:jc w:val="center"/>
      <w:outlineLvl w:val="1"/>
    </w:pPr>
    <w:rPr>
      <w:sz w:val="24"/>
      <w:szCs w:val="24"/>
    </w:rPr>
  </w:style>
  <w:style w:type="paragraph" w:styleId="Titolo3">
    <w:name w:val="heading 3"/>
    <w:basedOn w:val="Normale"/>
    <w:next w:val="Normale"/>
    <w:link w:val="Titolo3Carattere"/>
    <w:uiPriority w:val="99"/>
    <w:qFormat/>
    <w:rsid w:val="006233F3"/>
    <w:pPr>
      <w:keepNext/>
      <w:outlineLvl w:val="2"/>
    </w:pPr>
    <w:rPr>
      <w:i/>
      <w:iCs/>
    </w:rPr>
  </w:style>
  <w:style w:type="paragraph" w:styleId="Titolo4">
    <w:name w:val="heading 4"/>
    <w:basedOn w:val="Normale"/>
    <w:next w:val="Normale"/>
    <w:link w:val="Titolo4Carattere"/>
    <w:uiPriority w:val="99"/>
    <w:qFormat/>
    <w:rsid w:val="002C49DA"/>
    <w:pPr>
      <w:keepNext/>
      <w:spacing w:line="320" w:lineRule="atLeast"/>
      <w:jc w:val="both"/>
      <w:outlineLvl w:val="3"/>
    </w:pPr>
    <w:rPr>
      <w:rFonts w:ascii="Courier New" w:hAnsi="Courier New"/>
      <w:b/>
      <w:sz w:val="28"/>
    </w:rPr>
  </w:style>
  <w:style w:type="paragraph" w:styleId="Titolo5">
    <w:name w:val="heading 5"/>
    <w:basedOn w:val="Normale"/>
    <w:next w:val="Normale"/>
    <w:link w:val="Titolo5Carattere"/>
    <w:uiPriority w:val="99"/>
    <w:qFormat/>
    <w:rsid w:val="002C49DA"/>
    <w:pPr>
      <w:keepNext/>
      <w:spacing w:line="320" w:lineRule="atLeast"/>
      <w:jc w:val="both"/>
      <w:outlineLvl w:val="4"/>
    </w:pPr>
    <w:rPr>
      <w:rFonts w:ascii="Courier New" w:hAnsi="Courier New"/>
      <w:b/>
      <w:sz w:val="26"/>
    </w:rPr>
  </w:style>
  <w:style w:type="paragraph" w:styleId="Titolo6">
    <w:name w:val="heading 6"/>
    <w:basedOn w:val="Normale"/>
    <w:next w:val="Normale"/>
    <w:link w:val="Titolo6Carattere"/>
    <w:uiPriority w:val="99"/>
    <w:qFormat/>
    <w:rsid w:val="002C49DA"/>
    <w:pPr>
      <w:keepNext/>
      <w:spacing w:line="360" w:lineRule="atLeast"/>
      <w:jc w:val="both"/>
      <w:outlineLvl w:val="5"/>
    </w:pPr>
    <w:rPr>
      <w:sz w:val="24"/>
    </w:rPr>
  </w:style>
  <w:style w:type="paragraph" w:styleId="Titolo7">
    <w:name w:val="heading 7"/>
    <w:basedOn w:val="Normale"/>
    <w:next w:val="Normale"/>
    <w:link w:val="Titolo7Carattere"/>
    <w:uiPriority w:val="99"/>
    <w:qFormat/>
    <w:rsid w:val="002C49DA"/>
    <w:pPr>
      <w:keepNext/>
      <w:spacing w:line="360" w:lineRule="atLeast"/>
      <w:jc w:val="center"/>
      <w:outlineLvl w:val="6"/>
    </w:pPr>
    <w:rPr>
      <w:sz w:val="24"/>
    </w:rPr>
  </w:style>
  <w:style w:type="paragraph" w:styleId="Titolo8">
    <w:name w:val="heading 8"/>
    <w:basedOn w:val="Normale"/>
    <w:next w:val="Normale"/>
    <w:link w:val="Titolo8Carattere"/>
    <w:uiPriority w:val="99"/>
    <w:qFormat/>
    <w:rsid w:val="002C49DA"/>
    <w:pPr>
      <w:keepNext/>
      <w:tabs>
        <w:tab w:val="left" w:pos="2702"/>
      </w:tabs>
      <w:spacing w:line="360" w:lineRule="atLeast"/>
      <w:jc w:val="center"/>
      <w:outlineLvl w:val="7"/>
    </w:pPr>
    <w:rPr>
      <w:i/>
      <w:iCs/>
      <w:sz w:val="24"/>
    </w:rPr>
  </w:style>
  <w:style w:type="paragraph" w:styleId="Titolo9">
    <w:name w:val="heading 9"/>
    <w:basedOn w:val="Normale"/>
    <w:next w:val="Normale"/>
    <w:link w:val="Titolo9Carattere"/>
    <w:uiPriority w:val="99"/>
    <w:qFormat/>
    <w:rsid w:val="002C49DA"/>
    <w:pPr>
      <w:keepNext/>
      <w:spacing w:line="360" w:lineRule="atLeast"/>
      <w:jc w:val="both"/>
      <w:outlineLvl w:val="8"/>
    </w:pPr>
    <w:rPr>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2C49DA"/>
    <w:rPr>
      <w:sz w:val="24"/>
      <w:szCs w:val="24"/>
    </w:rPr>
  </w:style>
  <w:style w:type="character" w:customStyle="1" w:styleId="Titolo2Carattere">
    <w:name w:val="Titolo 2 Carattere"/>
    <w:link w:val="Titolo2"/>
    <w:uiPriority w:val="99"/>
    <w:locked/>
    <w:rsid w:val="002C49DA"/>
    <w:rPr>
      <w:sz w:val="24"/>
      <w:szCs w:val="24"/>
    </w:rPr>
  </w:style>
  <w:style w:type="character" w:customStyle="1" w:styleId="Titolo3Carattere">
    <w:name w:val="Titolo 3 Carattere"/>
    <w:link w:val="Titolo3"/>
    <w:uiPriority w:val="99"/>
    <w:rsid w:val="006233F3"/>
    <w:rPr>
      <w:i/>
      <w:iCs/>
    </w:rPr>
  </w:style>
  <w:style w:type="character" w:customStyle="1" w:styleId="Titolo4Carattere">
    <w:name w:val="Titolo 4 Carattere"/>
    <w:link w:val="Titolo4"/>
    <w:uiPriority w:val="99"/>
    <w:rsid w:val="002C49DA"/>
    <w:rPr>
      <w:rFonts w:ascii="Courier New" w:hAnsi="Courier New"/>
      <w:b/>
      <w:sz w:val="28"/>
    </w:rPr>
  </w:style>
  <w:style w:type="character" w:customStyle="1" w:styleId="Titolo5Carattere">
    <w:name w:val="Titolo 5 Carattere"/>
    <w:link w:val="Titolo5"/>
    <w:uiPriority w:val="99"/>
    <w:rsid w:val="002C49DA"/>
    <w:rPr>
      <w:rFonts w:ascii="Courier New" w:hAnsi="Courier New"/>
      <w:b/>
      <w:sz w:val="26"/>
    </w:rPr>
  </w:style>
  <w:style w:type="character" w:customStyle="1" w:styleId="Titolo6Carattere">
    <w:name w:val="Titolo 6 Carattere"/>
    <w:link w:val="Titolo6"/>
    <w:uiPriority w:val="99"/>
    <w:rsid w:val="002C49DA"/>
    <w:rPr>
      <w:sz w:val="24"/>
    </w:rPr>
  </w:style>
  <w:style w:type="character" w:customStyle="1" w:styleId="Titolo7Carattere">
    <w:name w:val="Titolo 7 Carattere"/>
    <w:link w:val="Titolo7"/>
    <w:uiPriority w:val="99"/>
    <w:rsid w:val="002C49DA"/>
    <w:rPr>
      <w:sz w:val="24"/>
    </w:rPr>
  </w:style>
  <w:style w:type="character" w:customStyle="1" w:styleId="Titolo8Carattere">
    <w:name w:val="Titolo 8 Carattere"/>
    <w:link w:val="Titolo8"/>
    <w:uiPriority w:val="99"/>
    <w:rsid w:val="002C49DA"/>
    <w:rPr>
      <w:i/>
      <w:iCs/>
      <w:sz w:val="24"/>
    </w:rPr>
  </w:style>
  <w:style w:type="character" w:customStyle="1" w:styleId="Titolo9Carattere">
    <w:name w:val="Titolo 9 Carattere"/>
    <w:link w:val="Titolo9"/>
    <w:uiPriority w:val="99"/>
    <w:rsid w:val="002C49DA"/>
    <w:rPr>
      <w:i/>
      <w:iCs/>
      <w:sz w:val="24"/>
    </w:rPr>
  </w:style>
  <w:style w:type="paragraph" w:customStyle="1" w:styleId="TESTO">
    <w:name w:val="TESTO"/>
    <w:uiPriority w:val="99"/>
    <w:pPr>
      <w:spacing w:line="190" w:lineRule="exact"/>
      <w:ind w:firstLine="226"/>
      <w:jc w:val="both"/>
    </w:pPr>
    <w:rPr>
      <w:rFonts w:ascii="Times" w:hAnsi="Times"/>
      <w:sz w:val="17"/>
    </w:rPr>
  </w:style>
  <w:style w:type="paragraph" w:customStyle="1" w:styleId="Occhiello">
    <w:name w:val="Occhiello"/>
    <w:uiPriority w:val="99"/>
    <w:pPr>
      <w:spacing w:line="260" w:lineRule="exact"/>
      <w:jc w:val="center"/>
    </w:pPr>
    <w:rPr>
      <w:b/>
      <w:caps/>
      <w:sz w:val="22"/>
      <w:szCs w:val="22"/>
    </w:rPr>
  </w:style>
  <w:style w:type="paragraph" w:customStyle="1" w:styleId="Titolodelcapitolo">
    <w:name w:val="Titolo del capitolo"/>
    <w:uiPriority w:val="99"/>
    <w:rsid w:val="0004427C"/>
    <w:pPr>
      <w:spacing w:after="230" w:line="230" w:lineRule="exact"/>
      <w:jc w:val="both"/>
    </w:pPr>
    <w:rPr>
      <w:rFonts w:ascii="Futura Bk BT" w:hAnsi="Futura Bk BT"/>
      <w:b/>
      <w:sz w:val="16"/>
    </w:rPr>
  </w:style>
  <w:style w:type="paragraph" w:customStyle="1" w:styleId="Titolodellalegge">
    <w:name w:val="Titolo della legge"/>
    <w:uiPriority w:val="99"/>
    <w:pPr>
      <w:spacing w:after="340" w:line="230" w:lineRule="exact"/>
      <w:jc w:val="both"/>
    </w:pPr>
  </w:style>
  <w:style w:type="paragraph" w:customStyle="1" w:styleId="Dicituraparte">
    <w:name w:val="Dicitura parte"/>
    <w:uiPriority w:val="99"/>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uiPriority w:val="99"/>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uiPriority w:val="99"/>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uiPriority w:val="99"/>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uiPriority w:val="99"/>
    <w:rPr>
      <w:b/>
      <w:caps/>
      <w:noProof w:val="0"/>
      <w:sz w:val="18"/>
      <w:szCs w:val="18"/>
      <w:lang w:val="it-IT" w:eastAsia="it-IT" w:bidi="ar-SA"/>
    </w:rPr>
  </w:style>
  <w:style w:type="paragraph" w:customStyle="1" w:styleId="Titoloni">
    <w:name w:val="Titoloni"/>
    <w:uiPriority w:val="99"/>
    <w:pPr>
      <w:spacing w:line="260" w:lineRule="exact"/>
      <w:jc w:val="center"/>
    </w:pPr>
    <w:rPr>
      <w:rFonts w:ascii="Times" w:hAnsi="Times"/>
      <w:b/>
      <w:caps/>
      <w:sz w:val="22"/>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sid w:val="00B70EC1"/>
    <w:rPr>
      <w:lang w:val="it-IT" w:eastAsia="it-IT" w:bidi="ar-SA"/>
    </w:rPr>
  </w:style>
  <w:style w:type="character" w:styleId="Numeropagina">
    <w:name w:val="page number"/>
    <w:basedOn w:val="Carpredefinitoparagrafo"/>
    <w:uiPriority w:val="99"/>
  </w:style>
  <w:style w:type="paragraph" w:customStyle="1" w:styleId="TitoloI">
    <w:name w:val="Titolo I"/>
    <w:uiPriority w:val="99"/>
    <w:pPr>
      <w:spacing w:before="340" w:after="86" w:line="190" w:lineRule="exact"/>
      <w:jc w:val="center"/>
    </w:pPr>
    <w:rPr>
      <w:rFonts w:ascii="Times" w:hAnsi="Times"/>
      <w:caps/>
      <w:sz w:val="18"/>
    </w:rPr>
  </w:style>
  <w:style w:type="paragraph" w:customStyle="1" w:styleId="Articolo">
    <w:name w:val="Articolo"/>
    <w:uiPriority w:val="99"/>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uiPriority w:val="99"/>
  </w:style>
  <w:style w:type="paragraph" w:customStyle="1" w:styleId="DicituraLibro">
    <w:name w:val="Dicitura Libro"/>
    <w:uiPriority w:val="99"/>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uiPriority w:val="99"/>
    <w:semiHidden/>
    <w:pPr>
      <w:spacing w:before="260" w:after="86" w:line="190" w:lineRule="exact"/>
      <w:jc w:val="center"/>
    </w:pPr>
    <w:rPr>
      <w:rFonts w:ascii="Times" w:hAnsi="Times"/>
      <w:caps/>
      <w:sz w:val="18"/>
    </w:rPr>
  </w:style>
  <w:style w:type="paragraph" w:customStyle="1" w:styleId="TitolodelCapo">
    <w:name w:val="Titolo del Capo"/>
    <w:uiPriority w:val="99"/>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semiHidden/>
    <w:rsid w:val="00921774"/>
    <w:pPr>
      <w:tabs>
        <w:tab w:val="center" w:pos="4819"/>
        <w:tab w:val="right" w:pos="9638"/>
      </w:tabs>
    </w:pPr>
  </w:style>
  <w:style w:type="character" w:customStyle="1" w:styleId="IntestazioneCarattere">
    <w:name w:val="Intestazione Carattere"/>
    <w:link w:val="Intestazione"/>
    <w:semiHidden/>
    <w:locked/>
    <w:rsid w:val="002C49DA"/>
  </w:style>
  <w:style w:type="table" w:styleId="Grigliatabella">
    <w:name w:val="Table Grid"/>
    <w:basedOn w:val="Tabellanormale"/>
    <w:uiPriority w:val="99"/>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rsid w:val="003B69D6"/>
  </w:style>
  <w:style w:type="character" w:customStyle="1" w:styleId="TestonotaapidipaginaCarattere">
    <w:name w:val="Testo nota a piè di pagina Carattere"/>
    <w:link w:val="Testonotaapidipagina"/>
    <w:uiPriority w:val="99"/>
    <w:semiHidden/>
    <w:rsid w:val="006233F3"/>
  </w:style>
  <w:style w:type="character" w:styleId="Rimandonotaapidipagina">
    <w:name w:val="footnote reference"/>
    <w:uiPriority w:val="99"/>
    <w:semiHidden/>
    <w:rsid w:val="003B69D6"/>
    <w:rPr>
      <w:vertAlign w:val="superscript"/>
    </w:rPr>
  </w:style>
  <w:style w:type="paragraph" w:customStyle="1" w:styleId="Titoloparte">
    <w:name w:val="Titolo parte"/>
    <w:basedOn w:val="Capoversoconnumero"/>
    <w:uiPriority w:val="99"/>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uiPriority w:val="99"/>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uiPriority w:val="99"/>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uiPriority w:val="99"/>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uiPriority w:val="99"/>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character" w:customStyle="1" w:styleId="SommarioCarattere">
    <w:name w:val="Sommario Carattere"/>
    <w:link w:val="Sommario"/>
    <w:rsid w:val="00DC53D8"/>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uiPriority w:val="99"/>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character" w:customStyle="1" w:styleId="TitoloAttoCarattere">
    <w:name w:val="Titolo Atto Carattere"/>
    <w:link w:val="TitoloAtto"/>
    <w:uiPriority w:val="99"/>
    <w:locked/>
    <w:rsid w:val="002C49DA"/>
    <w:rPr>
      <w:rFonts w:ascii="Arial" w:hAnsi="Arial" w:cs="Arial"/>
      <w:b/>
      <w:sz w:val="22"/>
      <w:szCs w:val="22"/>
    </w:rPr>
  </w:style>
  <w:style w:type="paragraph" w:customStyle="1" w:styleId="CapoversoAtti">
    <w:name w:val="Capoverso Atti"/>
    <w:uiPriority w:val="99"/>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uiPriority w:val="99"/>
    <w:rsid w:val="00DC53D8"/>
    <w:pPr>
      <w:spacing w:before="0"/>
    </w:pPr>
  </w:style>
  <w:style w:type="paragraph" w:customStyle="1" w:styleId="Capoversoarticoli">
    <w:name w:val="Capoverso articoli"/>
    <w:uiPriority w:val="99"/>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uiPriority w:val="99"/>
    <w:rsid w:val="006233F3"/>
    <w:pPr>
      <w:jc w:val="both"/>
    </w:pPr>
  </w:style>
  <w:style w:type="character" w:customStyle="1" w:styleId="CorpotestoCarattere">
    <w:name w:val="Corpo testo Carattere"/>
    <w:basedOn w:val="Carpredefinitoparagrafo"/>
    <w:link w:val="Corpotesto"/>
    <w:uiPriority w:val="99"/>
    <w:rsid w:val="006233F3"/>
  </w:style>
  <w:style w:type="paragraph" w:customStyle="1" w:styleId="Note">
    <w:name w:val="Note"/>
    <w:uiPriority w:val="99"/>
    <w:rsid w:val="006233F3"/>
    <w:pPr>
      <w:spacing w:before="80" w:line="170" w:lineRule="exact"/>
      <w:ind w:left="227"/>
      <w:jc w:val="both"/>
    </w:pPr>
    <w:rPr>
      <w:i/>
      <w:sz w:val="15"/>
      <w:szCs w:val="15"/>
    </w:rPr>
  </w:style>
  <w:style w:type="paragraph" w:customStyle="1" w:styleId="Dicituratitolo0">
    <w:name w:val="Dicitura titolo"/>
    <w:uiPriority w:val="99"/>
    <w:rsid w:val="006233F3"/>
    <w:pPr>
      <w:tabs>
        <w:tab w:val="left" w:pos="310"/>
      </w:tabs>
      <w:spacing w:before="254" w:after="86" w:line="190" w:lineRule="exact"/>
      <w:jc w:val="center"/>
    </w:pPr>
    <w:rPr>
      <w:caps/>
      <w:sz w:val="18"/>
      <w:szCs w:val="18"/>
    </w:rPr>
  </w:style>
  <w:style w:type="paragraph" w:customStyle="1" w:styleId="Titolodeltitolo0">
    <w:name w:val="Titolo del titolo"/>
    <w:uiPriority w:val="99"/>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uiPriority w:val="99"/>
    <w:rsid w:val="006233F3"/>
    <w:rPr>
      <w:sz w:val="24"/>
    </w:rPr>
  </w:style>
  <w:style w:type="character" w:customStyle="1" w:styleId="Corpodeltesto2Carattere">
    <w:name w:val="Corpo del testo 2 Carattere"/>
    <w:link w:val="Corpodeltesto2"/>
    <w:uiPriority w:val="99"/>
    <w:rsid w:val="006233F3"/>
    <w:rPr>
      <w:sz w:val="24"/>
    </w:rPr>
  </w:style>
  <w:style w:type="paragraph" w:styleId="Corpodeltesto3">
    <w:name w:val="Body Text 3"/>
    <w:basedOn w:val="Normale"/>
    <w:link w:val="Corpodeltesto3Carattere"/>
    <w:uiPriority w:val="99"/>
    <w:rsid w:val="006233F3"/>
    <w:pPr>
      <w:jc w:val="both"/>
    </w:pPr>
    <w:rPr>
      <w:sz w:val="24"/>
    </w:rPr>
  </w:style>
  <w:style w:type="character" w:customStyle="1" w:styleId="Corpodeltesto3Carattere">
    <w:name w:val="Corpo del testo 3 Carattere"/>
    <w:link w:val="Corpodeltesto3"/>
    <w:uiPriority w:val="99"/>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99"/>
    <w:qFormat/>
    <w:rsid w:val="006233F3"/>
    <w:rPr>
      <w:i/>
      <w:iCs/>
    </w:rPr>
  </w:style>
  <w:style w:type="character" w:styleId="Collegamentoipertestuale">
    <w:name w:val="Hyperlink"/>
    <w:uiPriority w:val="99"/>
    <w:rsid w:val="006233F3"/>
    <w:rPr>
      <w:color w:val="0000FF"/>
      <w:u w:val="single"/>
    </w:rPr>
  </w:style>
  <w:style w:type="paragraph" w:styleId="Rientrocorpodeltesto">
    <w:name w:val="Body Text Indent"/>
    <w:basedOn w:val="Normale"/>
    <w:link w:val="RientrocorpodeltestoCarattere"/>
    <w:uiPriority w:val="99"/>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uiPriority w:val="99"/>
    <w:rsid w:val="006233F3"/>
    <w:rPr>
      <w:rFonts w:ascii="New York" w:hAnsi="New York"/>
      <w:sz w:val="24"/>
    </w:rPr>
  </w:style>
  <w:style w:type="paragraph" w:customStyle="1" w:styleId="tx">
    <w:name w:val="tx"/>
    <w:basedOn w:val="Normale"/>
    <w:uiPriority w:val="99"/>
    <w:rsid w:val="006233F3"/>
    <w:pPr>
      <w:spacing w:before="20" w:after="20"/>
    </w:pPr>
  </w:style>
  <w:style w:type="character" w:customStyle="1" w:styleId="risultato">
    <w:name w:val="risultato"/>
    <w:uiPriority w:val="99"/>
    <w:rsid w:val="006233F3"/>
  </w:style>
  <w:style w:type="paragraph" w:customStyle="1" w:styleId="Nessunaspaziatura1">
    <w:name w:val="Nessuna spaziatura1"/>
    <w:basedOn w:val="Normale"/>
    <w:uiPriority w:val="99"/>
    <w:rsid w:val="006233F3"/>
    <w:rPr>
      <w:sz w:val="24"/>
      <w:szCs w:val="24"/>
    </w:rPr>
  </w:style>
  <w:style w:type="character" w:customStyle="1" w:styleId="TestonotadichiusuraCarattere">
    <w:name w:val="Testo nota di chiusura Carattere"/>
    <w:link w:val="Testonotadichiusura"/>
    <w:uiPriority w:val="99"/>
    <w:semiHidden/>
    <w:locked/>
    <w:rsid w:val="002C49DA"/>
    <w:rPr>
      <w:rFonts w:ascii="Calibri" w:hAnsi="Calibri"/>
    </w:rPr>
  </w:style>
  <w:style w:type="paragraph" w:styleId="Testonotadichiusura">
    <w:name w:val="endnote text"/>
    <w:basedOn w:val="Normale"/>
    <w:link w:val="TestonotadichiusuraCarattere"/>
    <w:uiPriority w:val="99"/>
    <w:semiHidden/>
    <w:rsid w:val="002C49DA"/>
    <w:rPr>
      <w:rFonts w:ascii="Calibri" w:hAnsi="Calibri"/>
    </w:rPr>
  </w:style>
  <w:style w:type="character" w:customStyle="1" w:styleId="TestonotadichiusuraCarattere1">
    <w:name w:val="Testo nota di chiusura Carattere1"/>
    <w:basedOn w:val="Carpredefinitoparagrafo"/>
    <w:uiPriority w:val="99"/>
    <w:semiHidden/>
    <w:rsid w:val="002C49DA"/>
  </w:style>
  <w:style w:type="paragraph" w:styleId="Titolo">
    <w:name w:val="Title"/>
    <w:basedOn w:val="Normale"/>
    <w:link w:val="TitoloCarattere"/>
    <w:uiPriority w:val="99"/>
    <w:qFormat/>
    <w:rsid w:val="002C49DA"/>
    <w:pPr>
      <w:jc w:val="center"/>
    </w:pPr>
    <w:rPr>
      <w:b/>
      <w:bCs/>
      <w:sz w:val="24"/>
      <w:szCs w:val="24"/>
    </w:rPr>
  </w:style>
  <w:style w:type="character" w:customStyle="1" w:styleId="TitoloCarattere">
    <w:name w:val="Titolo Carattere"/>
    <w:link w:val="Titolo"/>
    <w:uiPriority w:val="99"/>
    <w:rsid w:val="002C49DA"/>
    <w:rPr>
      <w:b/>
      <w:bCs/>
      <w:sz w:val="24"/>
      <w:szCs w:val="24"/>
    </w:rPr>
  </w:style>
  <w:style w:type="paragraph" w:customStyle="1" w:styleId="cpv">
    <w:name w:val="cpv"/>
    <w:uiPriority w:val="99"/>
    <w:rsid w:val="002C49DA"/>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uiPriority w:val="99"/>
    <w:rsid w:val="002C49DA"/>
    <w:pPr>
      <w:ind w:left="708" w:right="-1"/>
      <w:jc w:val="both"/>
    </w:pPr>
    <w:rPr>
      <w:lang w:eastAsia="zh-CN"/>
    </w:rPr>
  </w:style>
  <w:style w:type="paragraph" w:styleId="Rientrocorpodeltesto2">
    <w:name w:val="Body Text Indent 2"/>
    <w:basedOn w:val="Normale"/>
    <w:link w:val="Rientrocorpodeltesto2Carattere"/>
    <w:uiPriority w:val="99"/>
    <w:rsid w:val="002C49DA"/>
    <w:pPr>
      <w:ind w:left="705"/>
      <w:jc w:val="both"/>
    </w:pPr>
    <w:rPr>
      <w:lang w:eastAsia="zh-CN"/>
    </w:rPr>
  </w:style>
  <w:style w:type="character" w:customStyle="1" w:styleId="Rientrocorpodeltesto2Carattere">
    <w:name w:val="Rientro corpo del testo 2 Carattere"/>
    <w:link w:val="Rientrocorpodeltesto2"/>
    <w:uiPriority w:val="99"/>
    <w:rsid w:val="002C49DA"/>
    <w:rPr>
      <w:lang w:eastAsia="zh-CN"/>
    </w:rPr>
  </w:style>
  <w:style w:type="paragraph" w:styleId="Rientrocorpodeltesto3">
    <w:name w:val="Body Text Indent 3"/>
    <w:basedOn w:val="Normale"/>
    <w:link w:val="Rientrocorpodeltesto3Carattere"/>
    <w:uiPriority w:val="99"/>
    <w:rsid w:val="002C49DA"/>
    <w:pPr>
      <w:ind w:left="705"/>
    </w:pPr>
    <w:rPr>
      <w:lang w:eastAsia="zh-CN"/>
    </w:rPr>
  </w:style>
  <w:style w:type="character" w:customStyle="1" w:styleId="Rientrocorpodeltesto3Carattere">
    <w:name w:val="Rientro corpo del testo 3 Carattere"/>
    <w:link w:val="Rientrocorpodeltesto3"/>
    <w:uiPriority w:val="99"/>
    <w:rsid w:val="002C49DA"/>
    <w:rPr>
      <w:lang w:eastAsia="zh-CN"/>
    </w:rPr>
  </w:style>
  <w:style w:type="character" w:customStyle="1" w:styleId="Macchinadascrivere">
    <w:name w:val="Macchina da scrivere"/>
    <w:uiPriority w:val="99"/>
    <w:rsid w:val="002C49DA"/>
    <w:rPr>
      <w:rFonts w:ascii="Courier New" w:hAnsi="Courier New"/>
      <w:sz w:val="20"/>
    </w:rPr>
  </w:style>
  <w:style w:type="character" w:styleId="Enfasigrassetto">
    <w:name w:val="Strong"/>
    <w:uiPriority w:val="22"/>
    <w:qFormat/>
    <w:rsid w:val="00E27A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691758">
      <w:bodyDiv w:val="1"/>
      <w:marLeft w:val="0"/>
      <w:marRight w:val="0"/>
      <w:marTop w:val="780"/>
      <w:marBottom w:val="0"/>
      <w:divBdr>
        <w:top w:val="none" w:sz="0" w:space="0" w:color="auto"/>
        <w:left w:val="none" w:sz="0" w:space="0" w:color="auto"/>
        <w:bottom w:val="none" w:sz="0" w:space="0" w:color="auto"/>
        <w:right w:val="none" w:sz="0" w:space="0" w:color="auto"/>
      </w:divBdr>
      <w:divsChild>
        <w:div w:id="1979216251">
          <w:marLeft w:val="0"/>
          <w:marRight w:val="0"/>
          <w:marTop w:val="0"/>
          <w:marBottom w:val="0"/>
          <w:divBdr>
            <w:top w:val="none" w:sz="0" w:space="0" w:color="auto"/>
            <w:left w:val="none" w:sz="0" w:space="0" w:color="auto"/>
            <w:bottom w:val="none" w:sz="0" w:space="0" w:color="auto"/>
            <w:right w:val="none" w:sz="0" w:space="0" w:color="auto"/>
          </w:divBdr>
          <w:divsChild>
            <w:div w:id="1863203337">
              <w:marLeft w:val="0"/>
              <w:marRight w:val="0"/>
              <w:marTop w:val="0"/>
              <w:marBottom w:val="0"/>
              <w:divBdr>
                <w:top w:val="none" w:sz="0" w:space="0" w:color="auto"/>
                <w:left w:val="none" w:sz="0" w:space="0" w:color="auto"/>
                <w:bottom w:val="none" w:sz="0" w:space="0" w:color="auto"/>
                <w:right w:val="none" w:sz="0" w:space="0" w:color="auto"/>
              </w:divBdr>
              <w:divsChild>
                <w:div w:id="74204998">
                  <w:marLeft w:val="0"/>
                  <w:marRight w:val="0"/>
                  <w:marTop w:val="0"/>
                  <w:marBottom w:val="0"/>
                  <w:divBdr>
                    <w:top w:val="none" w:sz="0" w:space="0" w:color="auto"/>
                    <w:left w:val="none" w:sz="0" w:space="0" w:color="auto"/>
                    <w:bottom w:val="none" w:sz="0" w:space="0" w:color="auto"/>
                    <w:right w:val="none" w:sz="0" w:space="0" w:color="auto"/>
                  </w:divBdr>
                  <w:divsChild>
                    <w:div w:id="755129924">
                      <w:marLeft w:val="0"/>
                      <w:marRight w:val="0"/>
                      <w:marTop w:val="0"/>
                      <w:marBottom w:val="0"/>
                      <w:divBdr>
                        <w:top w:val="none" w:sz="0" w:space="0" w:color="auto"/>
                        <w:left w:val="none" w:sz="0" w:space="0" w:color="auto"/>
                        <w:bottom w:val="none" w:sz="0" w:space="0" w:color="auto"/>
                        <w:right w:val="none" w:sz="0" w:space="0" w:color="auto"/>
                      </w:divBdr>
                      <w:divsChild>
                        <w:div w:id="649293025">
                          <w:marLeft w:val="0"/>
                          <w:marRight w:val="0"/>
                          <w:marTop w:val="0"/>
                          <w:marBottom w:val="0"/>
                          <w:divBdr>
                            <w:top w:val="none" w:sz="0" w:space="0" w:color="auto"/>
                            <w:left w:val="none" w:sz="0" w:space="0" w:color="auto"/>
                            <w:bottom w:val="none" w:sz="0" w:space="0" w:color="auto"/>
                            <w:right w:val="none" w:sz="0" w:space="0" w:color="auto"/>
                          </w:divBdr>
                          <w:divsChild>
                            <w:div w:id="192618913">
                              <w:marLeft w:val="0"/>
                              <w:marRight w:val="0"/>
                              <w:marTop w:val="0"/>
                              <w:marBottom w:val="0"/>
                              <w:divBdr>
                                <w:top w:val="none" w:sz="0" w:space="0" w:color="auto"/>
                                <w:left w:val="none" w:sz="0" w:space="0" w:color="auto"/>
                                <w:bottom w:val="none" w:sz="0" w:space="0" w:color="auto"/>
                                <w:right w:val="none" w:sz="0" w:space="0" w:color="auto"/>
                              </w:divBdr>
                              <w:divsChild>
                                <w:div w:id="460341403">
                                  <w:marLeft w:val="0"/>
                                  <w:marRight w:val="0"/>
                                  <w:marTop w:val="0"/>
                                  <w:marBottom w:val="0"/>
                                  <w:divBdr>
                                    <w:top w:val="none" w:sz="0" w:space="0" w:color="auto"/>
                                    <w:left w:val="none" w:sz="0" w:space="0" w:color="auto"/>
                                    <w:bottom w:val="none" w:sz="0" w:space="0" w:color="auto"/>
                                    <w:right w:val="none" w:sz="0" w:space="0" w:color="auto"/>
                                  </w:divBdr>
                                  <w:divsChild>
                                    <w:div w:id="797602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5586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6A522-68BF-4D03-BBD1-0098DF02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Pages>
  <Words>334</Words>
  <Characters>1905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42</cp:revision>
  <cp:lastPrinted>2016-03-21T16:31:00Z</cp:lastPrinted>
  <dcterms:created xsi:type="dcterms:W3CDTF">2015-09-16T14:05:00Z</dcterms:created>
  <dcterms:modified xsi:type="dcterms:W3CDTF">2016-06-01T14:47:00Z</dcterms:modified>
</cp:coreProperties>
</file>