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A" w:rsidRPr="00CF2003" w:rsidRDefault="002C49DA" w:rsidP="002C49DA">
      <w:pPr>
        <w:pStyle w:val="CapoversoAtti"/>
        <w:spacing w:line="240" w:lineRule="auto"/>
        <w:rPr>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512A84" w:rsidRPr="00CF2003" w:rsidTr="00E35882">
        <w:tc>
          <w:tcPr>
            <w:tcW w:w="537" w:type="dxa"/>
            <w:tcBorders>
              <w:bottom w:val="single" w:sz="4" w:space="0" w:color="5F5F5F"/>
              <w:right w:val="single" w:sz="4" w:space="0" w:color="5F5F5F"/>
            </w:tcBorders>
            <w:shd w:val="clear" w:color="auto" w:fill="auto"/>
            <w:vAlign w:val="center"/>
          </w:tcPr>
          <w:p w:rsidR="00512A84" w:rsidRPr="00CF2003" w:rsidRDefault="00BD6FB0" w:rsidP="007121D8">
            <w:pPr>
              <w:pStyle w:val="DicituraAtto"/>
            </w:pPr>
            <w:r w:rsidRPr="00CF2003">
              <w:t>4</w:t>
            </w:r>
            <w:r w:rsidR="007121D8" w:rsidRPr="00CF2003">
              <w:t>21</w:t>
            </w:r>
          </w:p>
        </w:tc>
        <w:tc>
          <w:tcPr>
            <w:tcW w:w="5984" w:type="dxa"/>
            <w:tcBorders>
              <w:left w:val="single" w:sz="4" w:space="0" w:color="5F5F5F"/>
              <w:bottom w:val="single" w:sz="4" w:space="0" w:color="5F5F5F"/>
            </w:tcBorders>
          </w:tcPr>
          <w:p w:rsidR="00512A84" w:rsidRPr="00CF2003" w:rsidRDefault="00512A84" w:rsidP="00187F07">
            <w:pPr>
              <w:widowControl w:val="0"/>
              <w:tabs>
                <w:tab w:val="left" w:pos="3420"/>
              </w:tabs>
              <w:jc w:val="center"/>
              <w:rPr>
                <w:rFonts w:ascii="Arial" w:hAnsi="Arial" w:cs="Arial"/>
                <w:b/>
                <w:i/>
                <w:sz w:val="22"/>
                <w:szCs w:val="22"/>
              </w:rPr>
            </w:pPr>
          </w:p>
        </w:tc>
      </w:tr>
      <w:tr w:rsidR="00512A84" w:rsidRPr="00CF2003" w:rsidTr="00E35882">
        <w:trPr>
          <w:trHeight w:val="352"/>
        </w:trPr>
        <w:tc>
          <w:tcPr>
            <w:tcW w:w="537" w:type="dxa"/>
            <w:tcBorders>
              <w:top w:val="single" w:sz="4" w:space="0" w:color="5F5F5F"/>
              <w:right w:val="single" w:sz="4" w:space="0" w:color="5F5F5F"/>
            </w:tcBorders>
            <w:vAlign w:val="center"/>
          </w:tcPr>
          <w:p w:rsidR="00512A84" w:rsidRPr="00CF2003" w:rsidRDefault="00512A84" w:rsidP="00187F07">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12A84" w:rsidRPr="00CF2003" w:rsidRDefault="00CA2895" w:rsidP="00E35882">
            <w:pPr>
              <w:pStyle w:val="TitoloAtto"/>
            </w:pPr>
            <w:r w:rsidRPr="00CF2003">
              <w:t>Richiesta di riabilitazione</w:t>
            </w:r>
          </w:p>
        </w:tc>
      </w:tr>
    </w:tbl>
    <w:p w:rsidR="002C49DA" w:rsidRPr="00CF2003" w:rsidRDefault="002C49DA" w:rsidP="00E35882">
      <w:pPr>
        <w:pStyle w:val="CapoversoAtti"/>
      </w:pPr>
    </w:p>
    <w:p w:rsidR="00E35882" w:rsidRPr="00CF2003" w:rsidRDefault="00E35882" w:rsidP="00E35882">
      <w:pPr>
        <w:pStyle w:val="CapoversoAtti"/>
      </w:pPr>
    </w:p>
    <w:p w:rsidR="002C49DA" w:rsidRPr="00CF2003" w:rsidRDefault="002C49DA" w:rsidP="00E35882">
      <w:pPr>
        <w:pStyle w:val="CapoversoAtti"/>
      </w:pPr>
    </w:p>
    <w:p w:rsidR="002C49DA" w:rsidRPr="00CF2003" w:rsidRDefault="00562A61" w:rsidP="00BD6FB0">
      <w:pPr>
        <w:pStyle w:val="CapoversoAtti"/>
        <w:spacing w:line="246" w:lineRule="exact"/>
        <w:jc w:val="center"/>
      </w:pPr>
      <w:r w:rsidRPr="00CF2003">
        <w:t>Tribunale</w:t>
      </w:r>
      <w:r w:rsidR="002C49DA" w:rsidRPr="00CF2003">
        <w:t xml:space="preserve"> di sorveglianza di … … …</w:t>
      </w:r>
      <w:r w:rsidR="002C49DA" w:rsidRPr="00CF2003">
        <w:rPr>
          <w:iCs/>
          <w:snapToGrid w:val="0"/>
          <w:color w:val="000000"/>
          <w:u w:color="000000"/>
        </w:rPr>
        <w:t> </w:t>
      </w:r>
      <w:r w:rsidR="002C49DA" w:rsidRPr="00CF2003">
        <w:rPr>
          <w:rStyle w:val="Rimandonotaapidipagina"/>
          <w:iCs/>
          <w:snapToGrid w:val="0"/>
          <w:color w:val="000000"/>
          <w:u w:color="000000"/>
        </w:rPr>
        <w:footnoteReference w:id="1"/>
      </w:r>
    </w:p>
    <w:p w:rsidR="002C49DA" w:rsidRPr="00CF2003" w:rsidRDefault="002C49DA" w:rsidP="00BD6FB0">
      <w:pPr>
        <w:pStyle w:val="CapoversoAtti"/>
        <w:spacing w:line="246" w:lineRule="exact"/>
      </w:pPr>
    </w:p>
    <w:p w:rsidR="002C49DA" w:rsidRPr="00CF2003" w:rsidRDefault="002C49DA" w:rsidP="00BD6FB0">
      <w:pPr>
        <w:pStyle w:val="CapoversoAtti"/>
        <w:spacing w:line="246" w:lineRule="exact"/>
      </w:pPr>
    </w:p>
    <w:p w:rsidR="002C49DA" w:rsidRPr="00CF2003" w:rsidRDefault="002C49DA" w:rsidP="00BD6FB0">
      <w:pPr>
        <w:pStyle w:val="CapoversoAtti"/>
        <w:spacing w:line="246" w:lineRule="exact"/>
      </w:pPr>
      <w:r w:rsidRPr="00CF2003">
        <w:t>Il sottoscritto … … … (nome e cognome)</w:t>
      </w:r>
    </w:p>
    <w:p w:rsidR="002C49DA" w:rsidRPr="00CF2003" w:rsidRDefault="002C49DA" w:rsidP="00BD6FB0">
      <w:pPr>
        <w:pStyle w:val="CapoversoAtti"/>
        <w:spacing w:line="246" w:lineRule="exact"/>
      </w:pPr>
    </w:p>
    <w:p w:rsidR="002C49DA" w:rsidRPr="00CF2003" w:rsidRDefault="002C49DA" w:rsidP="00BD6FB0">
      <w:pPr>
        <w:pStyle w:val="CapoversoAtti"/>
        <w:spacing w:line="246" w:lineRule="exact"/>
        <w:jc w:val="center"/>
        <w:rPr>
          <w:i/>
        </w:rPr>
      </w:pPr>
      <w:r w:rsidRPr="00CF2003">
        <w:rPr>
          <w:i/>
        </w:rPr>
        <w:t>chiede</w:t>
      </w:r>
    </w:p>
    <w:p w:rsidR="002C49DA" w:rsidRPr="00CF2003" w:rsidRDefault="002C49DA" w:rsidP="00BD6FB0">
      <w:pPr>
        <w:pStyle w:val="CapoversoAtti"/>
        <w:spacing w:line="246" w:lineRule="exact"/>
      </w:pPr>
    </w:p>
    <w:p w:rsidR="002C49DA" w:rsidRPr="00CF2003" w:rsidRDefault="002C49DA" w:rsidP="00BD6FB0">
      <w:pPr>
        <w:pStyle w:val="CapoversoAtti"/>
        <w:spacing w:line="246" w:lineRule="exact"/>
      </w:pPr>
      <w:r w:rsidRPr="00CF2003">
        <w:t>ai sensi dell</w:t>
      </w:r>
      <w:r w:rsidR="00FA6E34" w:rsidRPr="00CF2003">
        <w:t>’</w:t>
      </w:r>
      <w:r w:rsidRPr="00CF2003">
        <w:t>art. 179 c.p., la concessione della riabilitazione.</w:t>
      </w:r>
    </w:p>
    <w:p w:rsidR="002C49DA" w:rsidRPr="00CF2003" w:rsidRDefault="002C49DA" w:rsidP="00854D89">
      <w:pPr>
        <w:pStyle w:val="CapoversoAtti"/>
        <w:spacing w:line="250" w:lineRule="atLeast"/>
      </w:pPr>
      <w:r w:rsidRPr="00CF2003">
        <w:t>A tal fine, dichiara che sono decorsi … … …</w:t>
      </w:r>
      <w:r w:rsidRPr="00CF2003">
        <w:rPr>
          <w:iCs/>
          <w:snapToGrid w:val="0"/>
          <w:color w:val="000000"/>
          <w:u w:color="000000"/>
        </w:rPr>
        <w:t> </w:t>
      </w:r>
      <w:r w:rsidRPr="00CF2003">
        <w:rPr>
          <w:rStyle w:val="Rimandonotaapidipagina"/>
          <w:iCs/>
          <w:snapToGrid w:val="0"/>
          <w:color w:val="000000"/>
          <w:u w:color="000000"/>
        </w:rPr>
        <w:footnoteReference w:id="2"/>
      </w:r>
      <w:r w:rsidRPr="00CF2003">
        <w:t xml:space="preserve"> dal giorno in cui è stata eseguita (ovvero in qualsiasi altro modo sia estinta) la pena principale riportata nell</w:t>
      </w:r>
      <w:r w:rsidR="00FA6E34" w:rsidRPr="00CF2003">
        <w:t>’</w:t>
      </w:r>
      <w:r w:rsidRPr="00CF2003">
        <w:t xml:space="preserve">ambito del processo penale n. … … …; di non essere sottoposto a misura di sicurezza </w:t>
      </w:r>
      <w:r w:rsidRPr="00CF2003">
        <w:lastRenderedPageBreak/>
        <w:t>(ovvero che la sua esecuzione è cessata in data …/.../...); di aver dato prove effettive e costanti di buona condotta</w:t>
      </w:r>
      <w:r w:rsidRPr="00CF2003">
        <w:rPr>
          <w:iCs/>
          <w:snapToGrid w:val="0"/>
          <w:color w:val="000000"/>
          <w:u w:color="000000"/>
        </w:rPr>
        <w:t> </w:t>
      </w:r>
      <w:r w:rsidRPr="00CF2003">
        <w:rPr>
          <w:rStyle w:val="Rimandonotaapidipagina"/>
          <w:iCs/>
          <w:snapToGrid w:val="0"/>
          <w:color w:val="000000"/>
          <w:u w:color="000000"/>
        </w:rPr>
        <w:footnoteReference w:id="3"/>
      </w:r>
      <w:r w:rsidRPr="00CF2003">
        <w:t>; di aver adempiuto le obbligazioni civili derivanti dal reato ovvero di trovarsi nell</w:t>
      </w:r>
      <w:r w:rsidR="00FA6E34" w:rsidRPr="00CF2003">
        <w:t>’</w:t>
      </w:r>
      <w:r w:rsidRPr="00CF2003">
        <w:t>impossibilità di adempierle</w:t>
      </w:r>
      <w:r w:rsidRPr="00CF2003">
        <w:rPr>
          <w:iCs/>
          <w:snapToGrid w:val="0"/>
          <w:color w:val="000000"/>
          <w:u w:color="000000"/>
        </w:rPr>
        <w:t> </w:t>
      </w:r>
      <w:r w:rsidRPr="00CF2003">
        <w:rPr>
          <w:rStyle w:val="Rimandonotaapidipagina"/>
          <w:iCs/>
          <w:snapToGrid w:val="0"/>
          <w:color w:val="000000"/>
          <w:u w:color="000000"/>
        </w:rPr>
        <w:footnoteReference w:id="4"/>
      </w:r>
      <w:r w:rsidRPr="00CF2003">
        <w:t>.</w:t>
      </w:r>
    </w:p>
    <w:p w:rsidR="002C49DA" w:rsidRPr="00CF2003" w:rsidRDefault="002C49DA" w:rsidP="00854D89">
      <w:pPr>
        <w:pStyle w:val="CapoversoAtti"/>
        <w:spacing w:line="250" w:lineRule="atLeast"/>
      </w:pPr>
    </w:p>
    <w:p w:rsidR="00854D89" w:rsidRPr="00CF2003" w:rsidRDefault="002C49DA" w:rsidP="00854D89">
      <w:pPr>
        <w:pStyle w:val="CapoversoAtti"/>
        <w:spacing w:line="250" w:lineRule="exact"/>
      </w:pPr>
      <w:r w:rsidRPr="00CF2003">
        <w:t>Nomina quale proprio difensore di fiducia l</w:t>
      </w:r>
      <w:r w:rsidR="00FA6E34" w:rsidRPr="00CF2003">
        <w:t>’</w:t>
      </w:r>
      <w:r w:rsidRPr="00CF2003">
        <w:t>Avv. … … … (nome e cognome, Foro d</w:t>
      </w:r>
      <w:r w:rsidR="00FA6E34" w:rsidRPr="00CF2003">
        <w:t>’</w:t>
      </w:r>
      <w:r w:rsidRPr="00CF2003">
        <w:t>iscrizione ed indirizzo dello s</w:t>
      </w:r>
      <w:r w:rsidR="00854D89" w:rsidRPr="00CF2003">
        <w:t>tudio professionale).</w:t>
      </w:r>
    </w:p>
    <w:p w:rsidR="00854D89" w:rsidRPr="00CF2003" w:rsidRDefault="00854D89" w:rsidP="00854D89">
      <w:pPr>
        <w:pStyle w:val="CapoversoAtti"/>
        <w:spacing w:line="250" w:lineRule="exact"/>
      </w:pPr>
    </w:p>
    <w:p w:rsidR="00854D89" w:rsidRPr="00CF2003" w:rsidRDefault="00854D89" w:rsidP="00854D89">
      <w:pPr>
        <w:pStyle w:val="CapoversoAtti"/>
        <w:spacing w:line="250" w:lineRule="exact"/>
      </w:pPr>
    </w:p>
    <w:p w:rsidR="002C49DA" w:rsidRPr="00CF2003" w:rsidRDefault="002C49DA" w:rsidP="00E35882">
      <w:pPr>
        <w:pStyle w:val="CapoversoAtti"/>
      </w:pPr>
      <w:r w:rsidRPr="00CF2003">
        <w:lastRenderedPageBreak/>
        <w:t>Il sottoscritto dichiara, infine, ai sensi dell</w:t>
      </w:r>
      <w:r w:rsidR="00FA6E34" w:rsidRPr="00CF2003">
        <w:t>’</w:t>
      </w:r>
      <w:r w:rsidRPr="00CF2003">
        <w:t>art. 677, comma 2</w:t>
      </w:r>
      <w:r w:rsidR="00CF2003" w:rsidRPr="00CF2003">
        <w:rPr>
          <w:i/>
        </w:rPr>
        <w:t>-</w:t>
      </w:r>
      <w:r w:rsidR="00562A61" w:rsidRPr="00CF2003">
        <w:rPr>
          <w:i/>
        </w:rPr>
        <w:t>bis</w:t>
      </w:r>
      <w:r w:rsidR="00562A61" w:rsidRPr="00CF2003">
        <w:t>,</w:t>
      </w:r>
      <w:r w:rsidRPr="00CF2003">
        <w:t xml:space="preserve"> c.p.p. di essere domiciliato … … … ovvero di eleggere domicilio presso … … …</w:t>
      </w:r>
      <w:r w:rsidRPr="00CF2003">
        <w:rPr>
          <w:iCs/>
          <w:snapToGrid w:val="0"/>
          <w:color w:val="000000"/>
          <w:u w:color="000000"/>
        </w:rPr>
        <w:t> </w:t>
      </w:r>
      <w:r w:rsidRPr="00CF2003">
        <w:rPr>
          <w:rStyle w:val="Rimandonotaapidipagina"/>
          <w:iCs/>
          <w:snapToGrid w:val="0"/>
          <w:color w:val="000000"/>
          <w:u w:color="000000"/>
        </w:rPr>
        <w:footnoteReference w:id="5"/>
      </w:r>
      <w:r w:rsidRPr="00CF2003">
        <w:t>.</w:t>
      </w:r>
    </w:p>
    <w:p w:rsidR="002C49DA" w:rsidRPr="00CF2003" w:rsidRDefault="002C49DA" w:rsidP="00E35882">
      <w:pPr>
        <w:pStyle w:val="CapoversoAtti"/>
      </w:pPr>
      <w:r w:rsidRPr="00CF2003">
        <w:t>Allega i seguenti documenti</w:t>
      </w:r>
      <w:r w:rsidRPr="00CF2003">
        <w:rPr>
          <w:iCs/>
          <w:snapToGrid w:val="0"/>
          <w:color w:val="000000"/>
          <w:u w:color="000000"/>
        </w:rPr>
        <w:t> </w:t>
      </w:r>
      <w:r w:rsidRPr="00CF2003">
        <w:rPr>
          <w:rStyle w:val="Rimandonotaapidipagina"/>
          <w:iCs/>
          <w:snapToGrid w:val="0"/>
          <w:color w:val="000000"/>
          <w:u w:color="000000"/>
        </w:rPr>
        <w:footnoteReference w:id="6"/>
      </w:r>
      <w:r w:rsidRPr="00CF2003">
        <w:t>:</w:t>
      </w:r>
    </w:p>
    <w:p w:rsidR="002C49DA" w:rsidRPr="00CF2003" w:rsidRDefault="002C49DA" w:rsidP="00E35882">
      <w:pPr>
        <w:pStyle w:val="CapoversoAtti"/>
      </w:pPr>
      <w:r w:rsidRPr="00CF2003">
        <w:t>… … …</w:t>
      </w:r>
    </w:p>
    <w:p w:rsidR="002C49DA" w:rsidRPr="00CF2003" w:rsidRDefault="002C49DA" w:rsidP="00E35882">
      <w:pPr>
        <w:pStyle w:val="CapoversoAtti"/>
      </w:pPr>
      <w:r w:rsidRPr="00CF2003">
        <w:t>… … …</w:t>
      </w:r>
    </w:p>
    <w:p w:rsidR="002C49DA" w:rsidRPr="00CF2003" w:rsidRDefault="002C49DA" w:rsidP="00E35882">
      <w:pPr>
        <w:pStyle w:val="CapoversoAtti"/>
      </w:pPr>
    </w:p>
    <w:p w:rsidR="002C49DA" w:rsidRPr="00CF2003" w:rsidRDefault="002C49DA" w:rsidP="00E35882">
      <w:pPr>
        <w:pStyle w:val="CapoversoAtti"/>
      </w:pPr>
      <w:r w:rsidRPr="00CF2003">
        <w:t>Luogo e data</w:t>
      </w:r>
    </w:p>
    <w:p w:rsidR="002C49DA" w:rsidRPr="00CF2003" w:rsidRDefault="002C49DA" w:rsidP="00E35882">
      <w:pPr>
        <w:pStyle w:val="CapoversoAtti"/>
        <w:jc w:val="right"/>
      </w:pPr>
      <w:r w:rsidRPr="00CF2003">
        <w:t>Sottoscrizione dell</w:t>
      </w:r>
      <w:r w:rsidR="00FA6E34" w:rsidRPr="00CF2003">
        <w:t>’</w:t>
      </w:r>
      <w:r w:rsidRPr="00CF2003">
        <w:t>interessato</w:t>
      </w:r>
    </w:p>
    <w:sectPr w:rsidR="002C49DA" w:rsidRPr="00CF2003" w:rsidSect="00A6065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11" w:rsidRDefault="00976711">
      <w:r>
        <w:separator/>
      </w:r>
    </w:p>
    <w:p w:rsidR="00976711" w:rsidRDefault="00976711"/>
    <w:p w:rsidR="00976711" w:rsidRDefault="00976711"/>
    <w:p w:rsidR="00976711" w:rsidRDefault="00976711"/>
  </w:endnote>
  <w:endnote w:type="continuationSeparator" w:id="0">
    <w:p w:rsidR="00976711" w:rsidRDefault="00976711">
      <w:r>
        <w:continuationSeparator/>
      </w:r>
    </w:p>
    <w:p w:rsidR="00976711" w:rsidRDefault="00976711"/>
    <w:p w:rsidR="00976711" w:rsidRDefault="00976711"/>
    <w:p w:rsidR="00976711" w:rsidRDefault="0097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id="1">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rPr>
          <w:spacing w:val="-4"/>
        </w:rPr>
        <w:t>La competenza del Tribunale di sorveglianza sussiste anche quando la riabilitazione viene richiesta in relazione a sentenze di condanna pronunciate da giudici speciali. L’inciso contenuto nell’art. 683, comma 1, c.p.p., che fa salve le ipotesi in cui “la legge non dispone altrimenti” si riferisce alla riabilitazione a favore dei condannati minorenni per la cui concessione è competente il Tribunale per i minorenni; alla riabilitazione concernente gli effetti penali militari per cui è competente il Tribunale militare di sorveglianza (</w:t>
      </w:r>
      <w:proofErr w:type="spellStart"/>
      <w:r w:rsidRPr="00B5356D">
        <w:rPr>
          <w:spacing w:val="-4"/>
        </w:rPr>
        <w:t>Cass</w:t>
      </w:r>
      <w:proofErr w:type="spellEnd"/>
      <w:r w:rsidRPr="00B5356D">
        <w:rPr>
          <w:spacing w:val="-4"/>
        </w:rPr>
        <w:t xml:space="preserve">., sez. I, 25 gennaio 1991, Alfonso, </w:t>
      </w:r>
      <w:r w:rsidRPr="00B5356D">
        <w:rPr>
          <w:i/>
          <w:iCs/>
          <w:spacing w:val="-4"/>
        </w:rPr>
        <w:t xml:space="preserve">CED </w:t>
      </w:r>
      <w:proofErr w:type="spellStart"/>
      <w:r w:rsidRPr="00B5356D">
        <w:rPr>
          <w:i/>
          <w:iCs/>
          <w:spacing w:val="-4"/>
        </w:rPr>
        <w:t>Cass</w:t>
      </w:r>
      <w:proofErr w:type="spellEnd"/>
      <w:r w:rsidRPr="00B5356D">
        <w:rPr>
          <w:i/>
          <w:iCs/>
          <w:spacing w:val="-4"/>
        </w:rPr>
        <w:t>.</w:t>
      </w:r>
      <w:r w:rsidRPr="00B5356D">
        <w:rPr>
          <w:spacing w:val="-4"/>
        </w:rPr>
        <w:t xml:space="preserve">, 186668); alla riabilitazione relativa alle sentenze di condanna pronunciate dalla Corte costituzionale in composizione allargata, ove la competenza è attribuita alla stessa </w:t>
      </w:r>
      <w:r w:rsidR="0049479E">
        <w:rPr>
          <w:spacing w:val="-4"/>
        </w:rPr>
        <w:t>C</w:t>
      </w:r>
      <w:r w:rsidRPr="00B5356D">
        <w:rPr>
          <w:spacing w:val="-4"/>
        </w:rPr>
        <w:t xml:space="preserve">orte (art. 32, l. 25 gennaio 1962, n. 20). </w:t>
      </w:r>
    </w:p>
  </w:footnote>
  <w:footnote w:id="2">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Ai fini della concessione della riabilitazione deve essere decorso il periodo minimo di tempo indicato all’art. 179 c.p. In particolare i termini decorrono dall’espiazione o dall’estinzione in altro modo della pena. Si precisa che in caso di amnistia (impropria) o di indulto il termine decorre non già dalla data del provvedimento giurisdizionale che applica il beneficio, il quale possiede natura solo dichiarativa, ma da quello dell’entrata in vigore del decreto di clemenza. Nell’ipotesi di grazia l’estinzione della pena si produce nella data in cui entra in vigore il decreto presidenziale di concessione, anche allorquando si tratti di grazia condizionata, posto che l’adempimento delle condizioni ha efficacia </w:t>
      </w:r>
      <w:r w:rsidRPr="00B5356D">
        <w:rPr>
          <w:i/>
          <w:iCs/>
        </w:rPr>
        <w:t xml:space="preserve">ex </w:t>
      </w:r>
      <w:proofErr w:type="spellStart"/>
      <w:r w:rsidRPr="00B5356D">
        <w:rPr>
          <w:i/>
          <w:iCs/>
        </w:rPr>
        <w:t>tunc</w:t>
      </w:r>
      <w:proofErr w:type="spellEnd"/>
      <w:r w:rsidRPr="00B5356D">
        <w:t xml:space="preserve">. In riferimento alla prescrizione della pena rileva il momento in cui detta causa estintiva si perfeziona e non quello in cui è dichiarata. Più controverso appare l’individuazione del termine allorquando sia stata concessa al soggetto interessato la liberazione condizionale. L’indirizzo prevalente sostiene che il </w:t>
      </w:r>
      <w:proofErr w:type="spellStart"/>
      <w:r w:rsidRPr="00B5356D">
        <w:rPr>
          <w:i/>
          <w:iCs/>
        </w:rPr>
        <w:t>dies</w:t>
      </w:r>
      <w:proofErr w:type="spellEnd"/>
      <w:r w:rsidRPr="00B5356D">
        <w:rPr>
          <w:i/>
          <w:iCs/>
        </w:rPr>
        <w:t xml:space="preserve"> a quo</w:t>
      </w:r>
      <w:r w:rsidRPr="00B5356D">
        <w:t xml:space="preserve"> debba essere computato facendo riferimento alla data di ammissione al beneficio (</w:t>
      </w:r>
      <w:proofErr w:type="spellStart"/>
      <w:r w:rsidRPr="00B5356D">
        <w:t>Cass</w:t>
      </w:r>
      <w:proofErr w:type="spellEnd"/>
      <w:r w:rsidRPr="00B5356D">
        <w:t xml:space="preserve">., sez. I, 23 febbraio 1990, </w:t>
      </w:r>
      <w:proofErr w:type="spellStart"/>
      <w:r w:rsidRPr="00B5356D">
        <w:t>Pichierri</w:t>
      </w:r>
      <w:proofErr w:type="spellEnd"/>
      <w:r w:rsidRPr="00B5356D">
        <w:t xml:space="preserve">, </w:t>
      </w:r>
      <w:r w:rsidRPr="00B5356D">
        <w:rPr>
          <w:i/>
          <w:iCs/>
        </w:rPr>
        <w:t xml:space="preserve">CED </w:t>
      </w:r>
      <w:proofErr w:type="spellStart"/>
      <w:r w:rsidRPr="00B5356D">
        <w:rPr>
          <w:i/>
          <w:iCs/>
        </w:rPr>
        <w:t>Cass</w:t>
      </w:r>
      <w:proofErr w:type="spellEnd"/>
      <w:r w:rsidRPr="00B5356D">
        <w:rPr>
          <w:i/>
          <w:iCs/>
        </w:rPr>
        <w:t>.</w:t>
      </w:r>
      <w:r w:rsidRPr="00B5356D">
        <w:t>, 183735), ma si segnalano decisioni in cui, nel caso di condanna all’ergastolo, la giurisprudenza fa decorrere il termine allo scadere dei cinque anni dalla data del provvedimento di concessione della liberazione condizionale (</w:t>
      </w:r>
      <w:proofErr w:type="spellStart"/>
      <w:r w:rsidRPr="00B5356D">
        <w:t>Cass</w:t>
      </w:r>
      <w:proofErr w:type="spellEnd"/>
      <w:r w:rsidRPr="00B5356D">
        <w:t xml:space="preserve">., sez. I, 26 giugno 1996, </w:t>
      </w:r>
      <w:proofErr w:type="spellStart"/>
      <w:r w:rsidRPr="00B5356D">
        <w:t>Frascella</w:t>
      </w:r>
      <w:proofErr w:type="spellEnd"/>
      <w:r w:rsidRPr="00B5356D">
        <w:t xml:space="preserve">, </w:t>
      </w:r>
      <w:r w:rsidRPr="00B5356D">
        <w:rPr>
          <w:i/>
          <w:iCs/>
        </w:rPr>
        <w:t xml:space="preserve">CED </w:t>
      </w:r>
      <w:proofErr w:type="spellStart"/>
      <w:r w:rsidRPr="00B5356D">
        <w:rPr>
          <w:i/>
          <w:iCs/>
        </w:rPr>
        <w:t>Cass</w:t>
      </w:r>
      <w:proofErr w:type="spellEnd"/>
      <w:r w:rsidRPr="00B5356D">
        <w:rPr>
          <w:i/>
          <w:iCs/>
        </w:rPr>
        <w:t>.</w:t>
      </w:r>
      <w:r w:rsidRPr="00B5356D">
        <w:t xml:space="preserve">, 205679). Infine, se il condannato è stato ammesso ad una misura alternativa alla detenzione, il termine </w:t>
      </w:r>
      <w:r w:rsidRPr="00B5356D">
        <w:rPr>
          <w:i/>
          <w:iCs/>
        </w:rPr>
        <w:t>de quo</w:t>
      </w:r>
      <w:r w:rsidRPr="00B5356D">
        <w:t xml:space="preserve"> decorre dalla dichiarazione del</w:t>
      </w:r>
      <w:r w:rsidRPr="00B5356D">
        <w:softHyphen/>
        <w:t>l’esito positivo della stessa da parte del Tribunale di sorveglianza. Si precisa, altresì, che la giurisprudenza ritiene ammissibile l’istanza di riabilitazione limitata solo ad alcune sentenze di condanna per cui sia già maturato il termine previsto dall’art. 179 c.p., mentre la presenza di ulteriori condanne per fatti posteriori va esaminata dal giudice competente solo ai fini della valutazione di merito del requisito della buona condotta (</w:t>
      </w:r>
      <w:proofErr w:type="spellStart"/>
      <w:r w:rsidRPr="00B5356D">
        <w:t>Cass</w:t>
      </w:r>
      <w:proofErr w:type="spellEnd"/>
      <w:r w:rsidRPr="00B5356D">
        <w:t xml:space="preserve">., sez. I, 18 maggio 2005, n. 21348, </w:t>
      </w:r>
      <w:r w:rsidRPr="00B5356D">
        <w:rPr>
          <w:i/>
        </w:rPr>
        <w:t xml:space="preserve">CED </w:t>
      </w:r>
      <w:proofErr w:type="spellStart"/>
      <w:r w:rsidRPr="00B5356D">
        <w:rPr>
          <w:i/>
        </w:rPr>
        <w:t>Cass</w:t>
      </w:r>
      <w:proofErr w:type="spellEnd"/>
      <w:r w:rsidRPr="00B5356D">
        <w:rPr>
          <w:i/>
        </w:rPr>
        <w:t>.</w:t>
      </w:r>
      <w:r w:rsidRPr="00B5356D">
        <w:t xml:space="preserve">, 231961). </w:t>
      </w:r>
    </w:p>
  </w:footnote>
  <w:footnote w:id="3">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Il requisito della buona condotta esige non tanto l’assenza di ulteriori elementi negativi, bensì prove effettive e costanti di buona condotta, con la conseguenza che, mentre il totale silenzio sulla condotta dell’istante risulta insufficiente a tal proposito, qualsiasi nota negativa in ordine al suo comportamento può essere apprezzata come prova di valenza contraria a quella richiesta dal legislatore (</w:t>
      </w:r>
      <w:proofErr w:type="spellStart"/>
      <w:r w:rsidRPr="00B5356D">
        <w:t>Cass</w:t>
      </w:r>
      <w:proofErr w:type="spellEnd"/>
      <w:r w:rsidRPr="00B5356D">
        <w:t xml:space="preserve">., sez. I, 5 febbraio 2013, n. 11572, </w:t>
      </w:r>
      <w:r w:rsidRPr="00B5356D">
        <w:rPr>
          <w:i/>
        </w:rPr>
        <w:t xml:space="preserve">CED </w:t>
      </w:r>
      <w:proofErr w:type="spellStart"/>
      <w:r w:rsidRPr="00B5356D">
        <w:rPr>
          <w:i/>
        </w:rPr>
        <w:t>Cass</w:t>
      </w:r>
      <w:proofErr w:type="spellEnd"/>
      <w:r w:rsidRPr="00B5356D">
        <w:rPr>
          <w:i/>
        </w:rPr>
        <w:t>.</w:t>
      </w:r>
      <w:r w:rsidRPr="00B5356D">
        <w:t>, 255157). In particolare la prova della buona condotta necessita dell’acquisizione di indici che abbiano un significato univoco di recupero del condannato ad un corretto, anche se non esemplare, modello di vita, non potendosi per contro riconnettere ad un singolo episodio di intemperanza – che non sia espressivo di una generale condotta di vita – valore sintomatico di non completamento dell’emenda (</w:t>
      </w:r>
      <w:proofErr w:type="spellStart"/>
      <w:r w:rsidRPr="00B5356D">
        <w:t>Cass</w:t>
      </w:r>
      <w:proofErr w:type="spellEnd"/>
      <w:r w:rsidRPr="00B5356D">
        <w:t xml:space="preserve">., sez. I, 20 ottobre 2011, n. 3346, </w:t>
      </w:r>
      <w:r w:rsidRPr="00B5356D">
        <w:rPr>
          <w:i/>
        </w:rPr>
        <w:t xml:space="preserve">CED </w:t>
      </w:r>
      <w:proofErr w:type="spellStart"/>
      <w:r w:rsidRPr="00B5356D">
        <w:rPr>
          <w:i/>
        </w:rPr>
        <w:t>Cass</w:t>
      </w:r>
      <w:proofErr w:type="spellEnd"/>
      <w:r w:rsidRPr="00B5356D">
        <w:rPr>
          <w:i/>
        </w:rPr>
        <w:t>.</w:t>
      </w:r>
      <w:r w:rsidRPr="00B5356D">
        <w:t xml:space="preserve">, n. 251675; </w:t>
      </w:r>
      <w:proofErr w:type="spellStart"/>
      <w:r w:rsidRPr="00B5356D">
        <w:t>Cass</w:t>
      </w:r>
      <w:proofErr w:type="spellEnd"/>
      <w:r w:rsidRPr="00B5356D">
        <w:t xml:space="preserve">., sez. I, 16 aprile 2007, n. 22775, </w:t>
      </w:r>
      <w:r w:rsidRPr="00B5356D">
        <w:rPr>
          <w:i/>
        </w:rPr>
        <w:t xml:space="preserve">CED </w:t>
      </w:r>
      <w:proofErr w:type="spellStart"/>
      <w:r w:rsidRPr="00B5356D">
        <w:rPr>
          <w:i/>
        </w:rPr>
        <w:t>Cass</w:t>
      </w:r>
      <w:proofErr w:type="spellEnd"/>
      <w:r w:rsidRPr="00B5356D">
        <w:rPr>
          <w:i/>
        </w:rPr>
        <w:t>.</w:t>
      </w:r>
      <w:r w:rsidRPr="00B5356D">
        <w:t xml:space="preserve">, 236877. Analogamente </w:t>
      </w:r>
      <w:proofErr w:type="spellStart"/>
      <w:r w:rsidRPr="00B5356D">
        <w:t>Cass</w:t>
      </w:r>
      <w:proofErr w:type="spellEnd"/>
      <w:r w:rsidRPr="00B5356D">
        <w:t xml:space="preserve">., sez. I, 24 ottobre 2007, n. 46270, </w:t>
      </w:r>
      <w:r w:rsidRPr="00B5356D">
        <w:rPr>
          <w:i/>
        </w:rPr>
        <w:t xml:space="preserve">CED </w:t>
      </w:r>
      <w:proofErr w:type="spellStart"/>
      <w:r w:rsidRPr="00B5356D">
        <w:rPr>
          <w:i/>
        </w:rPr>
        <w:t>Cass</w:t>
      </w:r>
      <w:proofErr w:type="spellEnd"/>
      <w:r w:rsidRPr="00B5356D">
        <w:rPr>
          <w:i/>
        </w:rPr>
        <w:t>.</w:t>
      </w:r>
      <w:r w:rsidRPr="00B5356D">
        <w:t>, 238486). Il comportamento del condannato deve essere, dunque, privo di qualsivoglia atteggiamento trasgressivo e deve essere uniformato ad uno stile di vita rispettoso dei principi fondamentali della convivenza civile (</w:t>
      </w:r>
      <w:proofErr w:type="spellStart"/>
      <w:r w:rsidRPr="00B5356D">
        <w:t>Cass</w:t>
      </w:r>
      <w:proofErr w:type="spellEnd"/>
      <w:r w:rsidRPr="00B5356D">
        <w:t xml:space="preserve">., sez. I, 31 maggio 2011, n. 29490, </w:t>
      </w:r>
      <w:r w:rsidRPr="00B5356D">
        <w:rPr>
          <w:i/>
        </w:rPr>
        <w:t xml:space="preserve">CED </w:t>
      </w:r>
      <w:proofErr w:type="spellStart"/>
      <w:r w:rsidRPr="00B5356D">
        <w:rPr>
          <w:i/>
        </w:rPr>
        <w:t>Cass</w:t>
      </w:r>
      <w:proofErr w:type="spellEnd"/>
      <w:r w:rsidRPr="00B5356D">
        <w:rPr>
          <w:i/>
        </w:rPr>
        <w:t>.</w:t>
      </w:r>
      <w:r w:rsidRPr="00B5356D">
        <w:t>, 250756;</w:t>
      </w:r>
      <w:r w:rsidRPr="00B5356D">
        <w:rPr>
          <w:i/>
        </w:rPr>
        <w:t xml:space="preserve"> </w:t>
      </w:r>
      <w:proofErr w:type="spellStart"/>
      <w:r w:rsidRPr="00B5356D">
        <w:t>Cass</w:t>
      </w:r>
      <w:proofErr w:type="spellEnd"/>
      <w:r w:rsidRPr="00B5356D">
        <w:t xml:space="preserve">., sez. I, 19 giugno 1998, </w:t>
      </w:r>
      <w:proofErr w:type="spellStart"/>
      <w:r w:rsidRPr="00B5356D">
        <w:t>Polise</w:t>
      </w:r>
      <w:proofErr w:type="spellEnd"/>
      <w:r w:rsidRPr="00B5356D">
        <w:t xml:space="preserve">, </w:t>
      </w:r>
      <w:r w:rsidRPr="00B5356D">
        <w:rPr>
          <w:i/>
          <w:iCs/>
        </w:rPr>
        <w:t xml:space="preserve">CED </w:t>
      </w:r>
      <w:proofErr w:type="spellStart"/>
      <w:r w:rsidRPr="00B5356D">
        <w:rPr>
          <w:i/>
          <w:iCs/>
        </w:rPr>
        <w:t>Cass</w:t>
      </w:r>
      <w:proofErr w:type="spellEnd"/>
      <w:r w:rsidRPr="00B5356D">
        <w:rPr>
          <w:i/>
          <w:iCs/>
        </w:rPr>
        <w:t>.</w:t>
      </w:r>
      <w:r w:rsidRPr="00B5356D">
        <w:t xml:space="preserve">, 211423). La giurisprudenza di legittimità precisa, altresì, che il provvedimento che concede il beneficio ha natura costitutiva, con la conseguenza che la valutazione sulla sussistenza del presupposto della buona condotta si estende dal momento dell’esecuzione o estinzione della pena principale sino a quello della decisione, ferma restando l’autonomia valutativa del </w:t>
      </w:r>
      <w:r w:rsidR="00EB5406">
        <w:t>T</w:t>
      </w:r>
      <w:r w:rsidRPr="00B5356D">
        <w:t>ribunale di sorveglianza in ipotesi di fatto oggetto di decisione non definitiva (</w:t>
      </w:r>
      <w:proofErr w:type="spellStart"/>
      <w:r w:rsidRPr="00B5356D">
        <w:t>Cass</w:t>
      </w:r>
      <w:proofErr w:type="spellEnd"/>
      <w:r w:rsidRPr="00B5356D">
        <w:t xml:space="preserve">., sez. I, 4 aprile 2014, n. 42066, </w:t>
      </w:r>
      <w:r w:rsidRPr="00B5356D">
        <w:rPr>
          <w:i/>
        </w:rPr>
        <w:t xml:space="preserve">CED </w:t>
      </w:r>
      <w:proofErr w:type="spellStart"/>
      <w:r w:rsidRPr="00B5356D">
        <w:rPr>
          <w:i/>
        </w:rPr>
        <w:t>Cass</w:t>
      </w:r>
      <w:proofErr w:type="spellEnd"/>
      <w:r w:rsidRPr="00B5356D">
        <w:rPr>
          <w:i/>
        </w:rPr>
        <w:t>.</w:t>
      </w:r>
      <w:r w:rsidRPr="00B5356D">
        <w:t xml:space="preserve">, 260517; </w:t>
      </w:r>
      <w:proofErr w:type="spellStart"/>
      <w:r w:rsidRPr="00B5356D">
        <w:t>Cass</w:t>
      </w:r>
      <w:proofErr w:type="spellEnd"/>
      <w:r w:rsidRPr="00B5356D">
        <w:t xml:space="preserve">., sez. I, 17 dicembre 2012, n. 1507, </w:t>
      </w:r>
      <w:r w:rsidRPr="00B5356D">
        <w:rPr>
          <w:i/>
        </w:rPr>
        <w:t xml:space="preserve">CED </w:t>
      </w:r>
      <w:proofErr w:type="spellStart"/>
      <w:r w:rsidRPr="00B5356D">
        <w:rPr>
          <w:i/>
        </w:rPr>
        <w:t>Cass</w:t>
      </w:r>
      <w:proofErr w:type="spellEnd"/>
      <w:r w:rsidRPr="00B5356D">
        <w:rPr>
          <w:i/>
        </w:rPr>
        <w:t>.</w:t>
      </w:r>
      <w:r w:rsidRPr="00B5356D">
        <w:t xml:space="preserve">, 254251). </w:t>
      </w:r>
    </w:p>
  </w:footnote>
  <w:footnote w:id="4">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L’adempimento delle obbligazioni civili derivanti dal reato (art. 185 c.p.) è considerato un presupposto imprescindibile per l’ottenimento del beneficio e rappresenta un elemento sintomatico della buona condotta (</w:t>
      </w:r>
      <w:proofErr w:type="spellStart"/>
      <w:r w:rsidRPr="00B5356D">
        <w:t>Cass</w:t>
      </w:r>
      <w:proofErr w:type="spellEnd"/>
      <w:r w:rsidRPr="00B5356D">
        <w:t xml:space="preserve">., sez. I, 27 gennaio 2005, Fortuna, </w:t>
      </w:r>
      <w:r w:rsidRPr="00B5356D">
        <w:rPr>
          <w:i/>
        </w:rPr>
        <w:t xml:space="preserve">CED </w:t>
      </w:r>
      <w:proofErr w:type="spellStart"/>
      <w:r w:rsidRPr="00B5356D">
        <w:rPr>
          <w:i/>
        </w:rPr>
        <w:t>Cass</w:t>
      </w:r>
      <w:proofErr w:type="spellEnd"/>
      <w:r w:rsidRPr="00B5356D">
        <w:rPr>
          <w:i/>
        </w:rPr>
        <w:t>.</w:t>
      </w:r>
      <w:r w:rsidRPr="00B5356D">
        <w:t xml:space="preserve">, 231589) per tale motivo rappresenta un requisito indefettibile ai fini dell’ammissibilità della richiesta. Detto presupposto diviene, però, inoperante qualora l’istante si trovi nell’impossibilità di adempierle per fatti non addebitabili allo stesso. Si distingue una impossibilità “soggettiva”, che non si realizza solo quando l’interessato versa in uno stato di miseria, ma è sufficiente che non disponga dei mezzi patrimoniali che gli consentano di effettuare il risarcimento senza un sensibile sacrificio </w:t>
      </w:r>
      <w:r w:rsidRPr="00B5356D">
        <w:rPr>
          <w:spacing w:val="-2"/>
        </w:rPr>
        <w:t>per sé e per la propria famiglia (</w:t>
      </w:r>
      <w:proofErr w:type="spellStart"/>
      <w:r w:rsidRPr="00B5356D">
        <w:rPr>
          <w:spacing w:val="-2"/>
        </w:rPr>
        <w:t>Cass</w:t>
      </w:r>
      <w:proofErr w:type="spellEnd"/>
      <w:r w:rsidRPr="00B5356D">
        <w:rPr>
          <w:spacing w:val="-2"/>
        </w:rPr>
        <w:t xml:space="preserve">., sez. I, 2 luglio 1993, </w:t>
      </w:r>
      <w:proofErr w:type="spellStart"/>
      <w:r w:rsidRPr="00B5356D">
        <w:rPr>
          <w:spacing w:val="-2"/>
        </w:rPr>
        <w:t>Vian</w:t>
      </w:r>
      <w:proofErr w:type="spellEnd"/>
      <w:r w:rsidRPr="00B5356D">
        <w:rPr>
          <w:spacing w:val="-2"/>
        </w:rPr>
        <w:t xml:space="preserve">, </w:t>
      </w:r>
      <w:r w:rsidRPr="00B5356D">
        <w:rPr>
          <w:i/>
          <w:spacing w:val="-2"/>
        </w:rPr>
        <w:t xml:space="preserve">CED </w:t>
      </w:r>
      <w:proofErr w:type="spellStart"/>
      <w:r w:rsidRPr="00B5356D">
        <w:rPr>
          <w:i/>
          <w:spacing w:val="-2"/>
        </w:rPr>
        <w:t>Cass</w:t>
      </w:r>
      <w:proofErr w:type="spellEnd"/>
      <w:r w:rsidRPr="00B5356D">
        <w:rPr>
          <w:i/>
          <w:spacing w:val="-2"/>
        </w:rPr>
        <w:t>.</w:t>
      </w:r>
      <w:r w:rsidRPr="00B5356D">
        <w:rPr>
          <w:spacing w:val="-2"/>
        </w:rPr>
        <w:t xml:space="preserve">, 195175) ed una impossibilità “oggettiva”, che si individua nei casi di </w:t>
      </w:r>
      <w:proofErr w:type="spellStart"/>
      <w:r w:rsidRPr="00B5356D">
        <w:rPr>
          <w:spacing w:val="-2"/>
        </w:rPr>
        <w:t>irriperibilità</w:t>
      </w:r>
      <w:proofErr w:type="spellEnd"/>
      <w:r w:rsidRPr="00B5356D">
        <w:rPr>
          <w:spacing w:val="-2"/>
        </w:rPr>
        <w:t xml:space="preserve"> del creditore o dei suoi eredi (</w:t>
      </w:r>
      <w:proofErr w:type="spellStart"/>
      <w:r w:rsidRPr="00B5356D">
        <w:rPr>
          <w:spacing w:val="-2"/>
        </w:rPr>
        <w:t>Cass</w:t>
      </w:r>
      <w:proofErr w:type="spellEnd"/>
      <w:r w:rsidRPr="00B5356D">
        <w:rPr>
          <w:spacing w:val="-2"/>
        </w:rPr>
        <w:t xml:space="preserve">., sez. I, 1° febbraio 1994, </w:t>
      </w:r>
      <w:proofErr w:type="spellStart"/>
      <w:r w:rsidRPr="00B5356D">
        <w:rPr>
          <w:spacing w:val="-2"/>
        </w:rPr>
        <w:t>Massimiani</w:t>
      </w:r>
      <w:proofErr w:type="spellEnd"/>
      <w:r w:rsidRPr="00B5356D">
        <w:rPr>
          <w:spacing w:val="-2"/>
        </w:rPr>
        <w:t xml:space="preserve">, </w:t>
      </w:r>
      <w:proofErr w:type="spellStart"/>
      <w:r w:rsidRPr="00B5356D">
        <w:rPr>
          <w:i/>
          <w:spacing w:val="-2"/>
        </w:rPr>
        <w:t>Cass</w:t>
      </w:r>
      <w:proofErr w:type="spellEnd"/>
      <w:r w:rsidRPr="00B5356D">
        <w:rPr>
          <w:i/>
          <w:spacing w:val="-2"/>
        </w:rPr>
        <w:t xml:space="preserve">. </w:t>
      </w:r>
      <w:proofErr w:type="spellStart"/>
      <w:r w:rsidRPr="00B5356D">
        <w:rPr>
          <w:i/>
          <w:spacing w:val="-2"/>
        </w:rPr>
        <w:t>pen</w:t>
      </w:r>
      <w:proofErr w:type="spellEnd"/>
      <w:r w:rsidRPr="00B5356D">
        <w:rPr>
          <w:i/>
          <w:spacing w:val="-2"/>
        </w:rPr>
        <w:t>.</w:t>
      </w:r>
      <w:r w:rsidRPr="00B5356D">
        <w:rPr>
          <w:spacing w:val="-2"/>
        </w:rPr>
        <w:t>, 1995, 1532) o nell’ipotesi di un oggettiva impossibilità di identificazione (</w:t>
      </w:r>
      <w:proofErr w:type="spellStart"/>
      <w:r w:rsidRPr="00B5356D">
        <w:rPr>
          <w:spacing w:val="-2"/>
        </w:rPr>
        <w:t>Cass</w:t>
      </w:r>
      <w:proofErr w:type="spellEnd"/>
      <w:r w:rsidRPr="00B5356D">
        <w:rPr>
          <w:spacing w:val="-2"/>
        </w:rPr>
        <w:t xml:space="preserve">., sez. I, 20 settembre 1992, Figliola, </w:t>
      </w:r>
      <w:r w:rsidRPr="00B5356D">
        <w:rPr>
          <w:i/>
          <w:spacing w:val="-2"/>
        </w:rPr>
        <w:t xml:space="preserve">CED </w:t>
      </w:r>
      <w:proofErr w:type="spellStart"/>
      <w:r w:rsidRPr="00B5356D">
        <w:rPr>
          <w:i/>
          <w:spacing w:val="-2"/>
        </w:rPr>
        <w:t>Cass</w:t>
      </w:r>
      <w:proofErr w:type="spellEnd"/>
      <w:r w:rsidRPr="00B5356D">
        <w:rPr>
          <w:i/>
          <w:spacing w:val="-2"/>
        </w:rPr>
        <w:t>.</w:t>
      </w:r>
      <w:r w:rsidRPr="00B5356D">
        <w:rPr>
          <w:spacing w:val="-2"/>
        </w:rPr>
        <w:t>, 192045) o ancora per estinzione del credito risultante da una sentenza civile passata in giudicato (</w:t>
      </w:r>
      <w:proofErr w:type="spellStart"/>
      <w:r w:rsidRPr="00B5356D">
        <w:rPr>
          <w:spacing w:val="-2"/>
        </w:rPr>
        <w:t>Cass</w:t>
      </w:r>
      <w:proofErr w:type="spellEnd"/>
      <w:r w:rsidRPr="00B5356D">
        <w:rPr>
          <w:spacing w:val="-2"/>
        </w:rPr>
        <w:t>., sez</w:t>
      </w:r>
      <w:r w:rsidRPr="00B5356D">
        <w:t xml:space="preserve">. V, 8 ottobre 1999, Agostini, </w:t>
      </w:r>
      <w:r w:rsidRPr="00B5356D">
        <w:rPr>
          <w:i/>
        </w:rPr>
        <w:t xml:space="preserve">CED </w:t>
      </w:r>
      <w:proofErr w:type="spellStart"/>
      <w:r w:rsidRPr="00B5356D">
        <w:rPr>
          <w:i/>
        </w:rPr>
        <w:t>Cass</w:t>
      </w:r>
      <w:proofErr w:type="spellEnd"/>
      <w:r w:rsidRPr="00B5356D">
        <w:rPr>
          <w:i/>
        </w:rPr>
        <w:t>.</w:t>
      </w:r>
      <w:r w:rsidRPr="00B5356D">
        <w:t>, 215746). Non è, invece, equiparata ad una rinuncia l’ipotesi in cui la persona offesa non abbia avanzato richiesta di risarcimento (</w:t>
      </w:r>
      <w:proofErr w:type="spellStart"/>
      <w:r w:rsidRPr="00B5356D">
        <w:t>Cass</w:t>
      </w:r>
      <w:proofErr w:type="spellEnd"/>
      <w:r w:rsidRPr="00B5356D">
        <w:t xml:space="preserve">., sez. III, 6 febbraio 1995, Marano, </w:t>
      </w:r>
      <w:proofErr w:type="spellStart"/>
      <w:r w:rsidRPr="00B5356D">
        <w:rPr>
          <w:i/>
        </w:rPr>
        <w:t>Cass</w:t>
      </w:r>
      <w:proofErr w:type="spellEnd"/>
      <w:r w:rsidRPr="00B5356D">
        <w:rPr>
          <w:i/>
        </w:rPr>
        <w:t xml:space="preserve">. </w:t>
      </w:r>
      <w:proofErr w:type="spellStart"/>
      <w:r w:rsidRPr="00B5356D">
        <w:rPr>
          <w:i/>
        </w:rPr>
        <w:t>pen</w:t>
      </w:r>
      <w:proofErr w:type="spellEnd"/>
      <w:r w:rsidRPr="00B5356D">
        <w:rPr>
          <w:i/>
        </w:rPr>
        <w:t>.</w:t>
      </w:r>
      <w:r w:rsidRPr="00B5356D">
        <w:t>, 1996, 2971). La giurisprudenza in alcune decisioni ha sottolineato, però, tra le condizioni essenziali per il conseguimento della riabilitazione debba farsi rientrare non solo l’adempimento delle obbligazioni civili derivanti dal reato, ma anche il pagamento delle spese di giustizia, il cui inadempimento è sintomatico – una volta che il condannato abbia interamente soddisfatto le prime e non abbia ottenuto la remissione del debito – dell’assenza del requisito della buona condotta (</w:t>
      </w:r>
      <w:proofErr w:type="spellStart"/>
      <w:r w:rsidRPr="00B5356D">
        <w:t>Cass</w:t>
      </w:r>
      <w:proofErr w:type="spellEnd"/>
      <w:r w:rsidRPr="00B5356D">
        <w:t xml:space="preserve">., sez. I, 5 maggio 2000, n. 3372, </w:t>
      </w:r>
      <w:proofErr w:type="spellStart"/>
      <w:r w:rsidRPr="00B5356D">
        <w:rPr>
          <w:i/>
        </w:rPr>
        <w:t>Cass</w:t>
      </w:r>
      <w:proofErr w:type="spellEnd"/>
      <w:r w:rsidRPr="00B5356D">
        <w:rPr>
          <w:i/>
        </w:rPr>
        <w:t xml:space="preserve">. </w:t>
      </w:r>
      <w:proofErr w:type="spellStart"/>
      <w:r w:rsidRPr="00B5356D">
        <w:rPr>
          <w:i/>
        </w:rPr>
        <w:t>pen</w:t>
      </w:r>
      <w:proofErr w:type="spellEnd"/>
      <w:r w:rsidRPr="00B5356D">
        <w:rPr>
          <w:i/>
        </w:rPr>
        <w:t>.</w:t>
      </w:r>
      <w:r w:rsidRPr="00B5356D">
        <w:t xml:space="preserve">, 2001, p. 1493). </w:t>
      </w:r>
    </w:p>
  </w:footnote>
  <w:footnote w:id="5">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color w:val="000000"/>
          <w:u w:color="000000"/>
        </w:rPr>
        <w:t> </w:t>
      </w:r>
      <w:r w:rsidRPr="00B5356D">
        <w:rPr>
          <w:spacing w:val="-2"/>
        </w:rPr>
        <w:t xml:space="preserve">Tale dichiarazione è prevista, a pena di inammissibilità, solo se il condannato non è detenuto. </w:t>
      </w:r>
    </w:p>
  </w:footnote>
  <w:footnote w:id="6">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Nella richiesta di riabilitazione l’interessato deve solo indicare gli elementi utili per dimostrare la sussistenza dei requisiti imposti dall’art. 179 c.p. Grava, pertanto, sul medesimo un mero onere di allegazione, fermo restando che, invece, incombe sul giudice il compito di acquisire d’ufficio tutta la documentazione necessaria (</w:t>
      </w:r>
      <w:proofErr w:type="spellStart"/>
      <w:r w:rsidRPr="00B5356D">
        <w:t>Cass</w:t>
      </w:r>
      <w:proofErr w:type="spellEnd"/>
      <w:r w:rsidRPr="00B5356D">
        <w:t xml:space="preserve">., sez. VI, 14 novembre 2000, </w:t>
      </w:r>
      <w:proofErr w:type="spellStart"/>
      <w:r w:rsidRPr="00B5356D">
        <w:t>Sciuto</w:t>
      </w:r>
      <w:proofErr w:type="spellEnd"/>
      <w:r w:rsidRPr="00B5356D">
        <w:t xml:space="preserve">, </w:t>
      </w:r>
      <w:r w:rsidRPr="00B5356D">
        <w:rPr>
          <w:i/>
          <w:iCs/>
        </w:rPr>
        <w:t xml:space="preserve">CED </w:t>
      </w:r>
      <w:proofErr w:type="spellStart"/>
      <w:r w:rsidRPr="00B5356D">
        <w:rPr>
          <w:i/>
          <w:iCs/>
        </w:rPr>
        <w:t>Cass</w:t>
      </w:r>
      <w:proofErr w:type="spellEnd"/>
      <w:r w:rsidRPr="00B5356D">
        <w:rPr>
          <w:i/>
          <w:iCs/>
        </w:rPr>
        <w:t>.</w:t>
      </w:r>
      <w:r w:rsidRPr="00B5356D">
        <w:t>, 219253).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Pr="007515B1" w:rsidRDefault="00E77D82" w:rsidP="007515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Default="00E77D82"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C03"/>
    <w:rsid w:val="00026173"/>
    <w:rsid w:val="00042C8B"/>
    <w:rsid w:val="0004427C"/>
    <w:rsid w:val="00052F04"/>
    <w:rsid w:val="00057D43"/>
    <w:rsid w:val="000625B7"/>
    <w:rsid w:val="00073FEC"/>
    <w:rsid w:val="000B3562"/>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87F07"/>
    <w:rsid w:val="001A00F1"/>
    <w:rsid w:val="001A75ED"/>
    <w:rsid w:val="001B1D80"/>
    <w:rsid w:val="001B5EAC"/>
    <w:rsid w:val="001B7DB2"/>
    <w:rsid w:val="001E71F0"/>
    <w:rsid w:val="001F5F4C"/>
    <w:rsid w:val="001F7563"/>
    <w:rsid w:val="002012CC"/>
    <w:rsid w:val="0021303E"/>
    <w:rsid w:val="002329A4"/>
    <w:rsid w:val="00234647"/>
    <w:rsid w:val="0023575D"/>
    <w:rsid w:val="00246703"/>
    <w:rsid w:val="00266FAE"/>
    <w:rsid w:val="00272F0D"/>
    <w:rsid w:val="002738C9"/>
    <w:rsid w:val="00277093"/>
    <w:rsid w:val="0029322A"/>
    <w:rsid w:val="002A43B7"/>
    <w:rsid w:val="002A5046"/>
    <w:rsid w:val="002A5519"/>
    <w:rsid w:val="002C4548"/>
    <w:rsid w:val="002C49DA"/>
    <w:rsid w:val="002D7F74"/>
    <w:rsid w:val="002E7219"/>
    <w:rsid w:val="002F08F1"/>
    <w:rsid w:val="002F2CB9"/>
    <w:rsid w:val="002F46F9"/>
    <w:rsid w:val="00302D8E"/>
    <w:rsid w:val="003040CC"/>
    <w:rsid w:val="0031069A"/>
    <w:rsid w:val="003178E8"/>
    <w:rsid w:val="003212AC"/>
    <w:rsid w:val="003341F4"/>
    <w:rsid w:val="00342404"/>
    <w:rsid w:val="00353578"/>
    <w:rsid w:val="00355020"/>
    <w:rsid w:val="00356667"/>
    <w:rsid w:val="0037282E"/>
    <w:rsid w:val="00390B4B"/>
    <w:rsid w:val="003B69D6"/>
    <w:rsid w:val="003B6C64"/>
    <w:rsid w:val="003C70F2"/>
    <w:rsid w:val="003F0011"/>
    <w:rsid w:val="0040145D"/>
    <w:rsid w:val="004058F6"/>
    <w:rsid w:val="00411911"/>
    <w:rsid w:val="0041352E"/>
    <w:rsid w:val="00416841"/>
    <w:rsid w:val="0042440B"/>
    <w:rsid w:val="00436FE8"/>
    <w:rsid w:val="0044568F"/>
    <w:rsid w:val="00445D23"/>
    <w:rsid w:val="00447EA0"/>
    <w:rsid w:val="00452DFF"/>
    <w:rsid w:val="00453CD7"/>
    <w:rsid w:val="0045770A"/>
    <w:rsid w:val="0047127F"/>
    <w:rsid w:val="004772B7"/>
    <w:rsid w:val="0048140E"/>
    <w:rsid w:val="00483D7E"/>
    <w:rsid w:val="00484006"/>
    <w:rsid w:val="00490861"/>
    <w:rsid w:val="0049479E"/>
    <w:rsid w:val="00495E04"/>
    <w:rsid w:val="004A3E08"/>
    <w:rsid w:val="004C73A6"/>
    <w:rsid w:val="004D00C5"/>
    <w:rsid w:val="004E7DC4"/>
    <w:rsid w:val="004F5617"/>
    <w:rsid w:val="00512A84"/>
    <w:rsid w:val="005224AF"/>
    <w:rsid w:val="00532064"/>
    <w:rsid w:val="00534902"/>
    <w:rsid w:val="00541E69"/>
    <w:rsid w:val="00552742"/>
    <w:rsid w:val="00553119"/>
    <w:rsid w:val="00562A61"/>
    <w:rsid w:val="0057045E"/>
    <w:rsid w:val="00570BE5"/>
    <w:rsid w:val="00580036"/>
    <w:rsid w:val="00583EA9"/>
    <w:rsid w:val="0058757A"/>
    <w:rsid w:val="00591956"/>
    <w:rsid w:val="00596E9F"/>
    <w:rsid w:val="00597B2C"/>
    <w:rsid w:val="005A03A9"/>
    <w:rsid w:val="005B7EA8"/>
    <w:rsid w:val="005E082B"/>
    <w:rsid w:val="005E0FE9"/>
    <w:rsid w:val="005E1D4E"/>
    <w:rsid w:val="005F0A89"/>
    <w:rsid w:val="005F7DE6"/>
    <w:rsid w:val="005F7F44"/>
    <w:rsid w:val="006007E6"/>
    <w:rsid w:val="0060316E"/>
    <w:rsid w:val="00612527"/>
    <w:rsid w:val="00620DB6"/>
    <w:rsid w:val="006233F3"/>
    <w:rsid w:val="00625790"/>
    <w:rsid w:val="006346D8"/>
    <w:rsid w:val="00636609"/>
    <w:rsid w:val="006534D4"/>
    <w:rsid w:val="006544E2"/>
    <w:rsid w:val="00654F45"/>
    <w:rsid w:val="00660598"/>
    <w:rsid w:val="006745BF"/>
    <w:rsid w:val="00675199"/>
    <w:rsid w:val="006844D6"/>
    <w:rsid w:val="0069030D"/>
    <w:rsid w:val="00692BF5"/>
    <w:rsid w:val="006A4DF4"/>
    <w:rsid w:val="006A734F"/>
    <w:rsid w:val="006B0D61"/>
    <w:rsid w:val="006C22D9"/>
    <w:rsid w:val="006D1867"/>
    <w:rsid w:val="006E0166"/>
    <w:rsid w:val="006F03ED"/>
    <w:rsid w:val="006F2325"/>
    <w:rsid w:val="006F3548"/>
    <w:rsid w:val="006F69F4"/>
    <w:rsid w:val="00700F9E"/>
    <w:rsid w:val="00701CB7"/>
    <w:rsid w:val="0070298A"/>
    <w:rsid w:val="007121D8"/>
    <w:rsid w:val="00730D8D"/>
    <w:rsid w:val="00730EC3"/>
    <w:rsid w:val="007326D3"/>
    <w:rsid w:val="0073691D"/>
    <w:rsid w:val="00746538"/>
    <w:rsid w:val="0074785F"/>
    <w:rsid w:val="007515B1"/>
    <w:rsid w:val="00761B60"/>
    <w:rsid w:val="00765080"/>
    <w:rsid w:val="007663CA"/>
    <w:rsid w:val="007664F6"/>
    <w:rsid w:val="00772792"/>
    <w:rsid w:val="00775613"/>
    <w:rsid w:val="00775C97"/>
    <w:rsid w:val="007812B6"/>
    <w:rsid w:val="007943D2"/>
    <w:rsid w:val="007A01F7"/>
    <w:rsid w:val="007A6513"/>
    <w:rsid w:val="007B078B"/>
    <w:rsid w:val="007C1D50"/>
    <w:rsid w:val="007C5D21"/>
    <w:rsid w:val="007E2132"/>
    <w:rsid w:val="007E38D9"/>
    <w:rsid w:val="007E79B6"/>
    <w:rsid w:val="0082617E"/>
    <w:rsid w:val="00830352"/>
    <w:rsid w:val="00833DD3"/>
    <w:rsid w:val="008416A1"/>
    <w:rsid w:val="00854D89"/>
    <w:rsid w:val="00862974"/>
    <w:rsid w:val="00881C16"/>
    <w:rsid w:val="00882AB0"/>
    <w:rsid w:val="008849FF"/>
    <w:rsid w:val="00893CA6"/>
    <w:rsid w:val="00894761"/>
    <w:rsid w:val="00896B0F"/>
    <w:rsid w:val="008B189F"/>
    <w:rsid w:val="008B4293"/>
    <w:rsid w:val="008C26C8"/>
    <w:rsid w:val="008C7B7B"/>
    <w:rsid w:val="008D6DA2"/>
    <w:rsid w:val="008F0D74"/>
    <w:rsid w:val="008F1ACA"/>
    <w:rsid w:val="008F3CC7"/>
    <w:rsid w:val="008F6DF4"/>
    <w:rsid w:val="0091400B"/>
    <w:rsid w:val="00921774"/>
    <w:rsid w:val="0093177E"/>
    <w:rsid w:val="00933E85"/>
    <w:rsid w:val="009357A2"/>
    <w:rsid w:val="00937C18"/>
    <w:rsid w:val="0094449B"/>
    <w:rsid w:val="009539F3"/>
    <w:rsid w:val="009632C5"/>
    <w:rsid w:val="00966FF8"/>
    <w:rsid w:val="00967B22"/>
    <w:rsid w:val="00972A19"/>
    <w:rsid w:val="00973015"/>
    <w:rsid w:val="00976711"/>
    <w:rsid w:val="009840A3"/>
    <w:rsid w:val="009B598D"/>
    <w:rsid w:val="009C0A1E"/>
    <w:rsid w:val="009C77D1"/>
    <w:rsid w:val="009D4BF7"/>
    <w:rsid w:val="009D67AE"/>
    <w:rsid w:val="009E1E4A"/>
    <w:rsid w:val="009E543D"/>
    <w:rsid w:val="00A0055C"/>
    <w:rsid w:val="00A07FC2"/>
    <w:rsid w:val="00A2118C"/>
    <w:rsid w:val="00A22655"/>
    <w:rsid w:val="00A60657"/>
    <w:rsid w:val="00A6074F"/>
    <w:rsid w:val="00A706EC"/>
    <w:rsid w:val="00A84308"/>
    <w:rsid w:val="00A9047F"/>
    <w:rsid w:val="00A91F63"/>
    <w:rsid w:val="00AB03D6"/>
    <w:rsid w:val="00AB73DB"/>
    <w:rsid w:val="00AC7BCC"/>
    <w:rsid w:val="00AE1D83"/>
    <w:rsid w:val="00AF30EA"/>
    <w:rsid w:val="00B16B93"/>
    <w:rsid w:val="00B32178"/>
    <w:rsid w:val="00B3445A"/>
    <w:rsid w:val="00B366EE"/>
    <w:rsid w:val="00B44764"/>
    <w:rsid w:val="00B5356D"/>
    <w:rsid w:val="00B542A1"/>
    <w:rsid w:val="00B65062"/>
    <w:rsid w:val="00B70EC1"/>
    <w:rsid w:val="00B9216E"/>
    <w:rsid w:val="00BC75D6"/>
    <w:rsid w:val="00BD6FB0"/>
    <w:rsid w:val="00BF4AF7"/>
    <w:rsid w:val="00C03C67"/>
    <w:rsid w:val="00C12C42"/>
    <w:rsid w:val="00C137EB"/>
    <w:rsid w:val="00C15C01"/>
    <w:rsid w:val="00C161E1"/>
    <w:rsid w:val="00C2203B"/>
    <w:rsid w:val="00C274BF"/>
    <w:rsid w:val="00C3392E"/>
    <w:rsid w:val="00C339DF"/>
    <w:rsid w:val="00C448E8"/>
    <w:rsid w:val="00C54484"/>
    <w:rsid w:val="00C6004F"/>
    <w:rsid w:val="00C678AA"/>
    <w:rsid w:val="00C72880"/>
    <w:rsid w:val="00C74914"/>
    <w:rsid w:val="00C75B2B"/>
    <w:rsid w:val="00C7738D"/>
    <w:rsid w:val="00C8036C"/>
    <w:rsid w:val="00C83170"/>
    <w:rsid w:val="00C870CC"/>
    <w:rsid w:val="00CA2895"/>
    <w:rsid w:val="00CA4CC9"/>
    <w:rsid w:val="00CA65CC"/>
    <w:rsid w:val="00CA6C63"/>
    <w:rsid w:val="00CB0897"/>
    <w:rsid w:val="00CB331B"/>
    <w:rsid w:val="00CB6ECD"/>
    <w:rsid w:val="00CC015F"/>
    <w:rsid w:val="00CD45AF"/>
    <w:rsid w:val="00CD5C2B"/>
    <w:rsid w:val="00CE28C8"/>
    <w:rsid w:val="00CF2003"/>
    <w:rsid w:val="00D0114D"/>
    <w:rsid w:val="00D012CB"/>
    <w:rsid w:val="00D1310D"/>
    <w:rsid w:val="00D2352E"/>
    <w:rsid w:val="00D252B9"/>
    <w:rsid w:val="00D2707F"/>
    <w:rsid w:val="00D465B0"/>
    <w:rsid w:val="00D46EDF"/>
    <w:rsid w:val="00D475B7"/>
    <w:rsid w:val="00D50A84"/>
    <w:rsid w:val="00D7166A"/>
    <w:rsid w:val="00D73BC6"/>
    <w:rsid w:val="00D76037"/>
    <w:rsid w:val="00D9164F"/>
    <w:rsid w:val="00D925C4"/>
    <w:rsid w:val="00DA69B8"/>
    <w:rsid w:val="00DA713B"/>
    <w:rsid w:val="00DC53D8"/>
    <w:rsid w:val="00DD44AA"/>
    <w:rsid w:val="00DE2519"/>
    <w:rsid w:val="00E02035"/>
    <w:rsid w:val="00E0277F"/>
    <w:rsid w:val="00E11D61"/>
    <w:rsid w:val="00E14D6A"/>
    <w:rsid w:val="00E22556"/>
    <w:rsid w:val="00E236F3"/>
    <w:rsid w:val="00E27A6C"/>
    <w:rsid w:val="00E35391"/>
    <w:rsid w:val="00E35882"/>
    <w:rsid w:val="00E512B9"/>
    <w:rsid w:val="00E6162E"/>
    <w:rsid w:val="00E77D82"/>
    <w:rsid w:val="00E9363C"/>
    <w:rsid w:val="00E96E43"/>
    <w:rsid w:val="00EA1944"/>
    <w:rsid w:val="00EA3249"/>
    <w:rsid w:val="00EA3B7B"/>
    <w:rsid w:val="00EB3B03"/>
    <w:rsid w:val="00EB5406"/>
    <w:rsid w:val="00EC175C"/>
    <w:rsid w:val="00EC45CD"/>
    <w:rsid w:val="00EE5575"/>
    <w:rsid w:val="00F00D40"/>
    <w:rsid w:val="00F139CC"/>
    <w:rsid w:val="00F15B95"/>
    <w:rsid w:val="00F21CE2"/>
    <w:rsid w:val="00F30D2C"/>
    <w:rsid w:val="00F34B50"/>
    <w:rsid w:val="00F3742D"/>
    <w:rsid w:val="00F47E4C"/>
    <w:rsid w:val="00F52E18"/>
    <w:rsid w:val="00F55B4C"/>
    <w:rsid w:val="00F62B18"/>
    <w:rsid w:val="00F649C3"/>
    <w:rsid w:val="00F73B75"/>
    <w:rsid w:val="00F76A29"/>
    <w:rsid w:val="00F85B89"/>
    <w:rsid w:val="00F85F38"/>
    <w:rsid w:val="00F866C4"/>
    <w:rsid w:val="00F90EBB"/>
    <w:rsid w:val="00FA19BF"/>
    <w:rsid w:val="00FA6E34"/>
    <w:rsid w:val="00FA6FB3"/>
    <w:rsid w:val="00FB5388"/>
    <w:rsid w:val="00FC1C0F"/>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564F74-5A4D-4C02-ACC0-AAA3B8CF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link w:val="Titolo2Carattere"/>
    <w:uiPriority w:val="99"/>
    <w:qFormat/>
    <w:rsid w:val="008F0D74"/>
    <w:pPr>
      <w:keepNext/>
      <w:jc w:val="center"/>
      <w:outlineLvl w:val="1"/>
    </w:pPr>
    <w:rPr>
      <w:sz w:val="24"/>
      <w:szCs w:val="24"/>
    </w:rPr>
  </w:style>
  <w:style w:type="paragraph" w:styleId="Titolo3">
    <w:name w:val="heading 3"/>
    <w:basedOn w:val="Normale"/>
    <w:next w:val="Normale"/>
    <w:link w:val="Titolo3Carattere"/>
    <w:uiPriority w:val="99"/>
    <w:qFormat/>
    <w:rsid w:val="006233F3"/>
    <w:pPr>
      <w:keepNext/>
      <w:outlineLvl w:val="2"/>
    </w:pPr>
    <w:rPr>
      <w:i/>
      <w:iCs/>
    </w:rPr>
  </w:style>
  <w:style w:type="paragraph" w:styleId="Titolo4">
    <w:name w:val="heading 4"/>
    <w:basedOn w:val="Normale"/>
    <w:next w:val="Normale"/>
    <w:link w:val="Titolo4Carattere"/>
    <w:uiPriority w:val="99"/>
    <w:qFormat/>
    <w:rsid w:val="002C49DA"/>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uiPriority w:val="99"/>
    <w:qFormat/>
    <w:rsid w:val="002C49DA"/>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uiPriority w:val="99"/>
    <w:qFormat/>
    <w:rsid w:val="002C49DA"/>
    <w:pPr>
      <w:keepNext/>
      <w:spacing w:line="360" w:lineRule="atLeast"/>
      <w:jc w:val="both"/>
      <w:outlineLvl w:val="5"/>
    </w:pPr>
    <w:rPr>
      <w:sz w:val="24"/>
    </w:rPr>
  </w:style>
  <w:style w:type="paragraph" w:styleId="Titolo7">
    <w:name w:val="heading 7"/>
    <w:basedOn w:val="Normale"/>
    <w:next w:val="Normale"/>
    <w:link w:val="Titolo7Carattere"/>
    <w:uiPriority w:val="99"/>
    <w:qFormat/>
    <w:rsid w:val="002C49DA"/>
    <w:pPr>
      <w:keepNext/>
      <w:spacing w:line="360" w:lineRule="atLeast"/>
      <w:jc w:val="center"/>
      <w:outlineLvl w:val="6"/>
    </w:pPr>
    <w:rPr>
      <w:sz w:val="24"/>
    </w:rPr>
  </w:style>
  <w:style w:type="paragraph" w:styleId="Titolo8">
    <w:name w:val="heading 8"/>
    <w:basedOn w:val="Normale"/>
    <w:next w:val="Normale"/>
    <w:link w:val="Titolo8Carattere"/>
    <w:uiPriority w:val="99"/>
    <w:qFormat/>
    <w:rsid w:val="002C49DA"/>
    <w:pPr>
      <w:keepNext/>
      <w:tabs>
        <w:tab w:val="left" w:pos="2702"/>
      </w:tabs>
      <w:spacing w:line="360" w:lineRule="atLeast"/>
      <w:jc w:val="center"/>
      <w:outlineLvl w:val="7"/>
    </w:pPr>
    <w:rPr>
      <w:i/>
      <w:iCs/>
      <w:sz w:val="24"/>
    </w:rPr>
  </w:style>
  <w:style w:type="paragraph" w:styleId="Titolo9">
    <w:name w:val="heading 9"/>
    <w:basedOn w:val="Normale"/>
    <w:next w:val="Normale"/>
    <w:link w:val="Titolo9Carattere"/>
    <w:uiPriority w:val="99"/>
    <w:qFormat/>
    <w:rsid w:val="002C49DA"/>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C49DA"/>
    <w:rPr>
      <w:sz w:val="24"/>
      <w:szCs w:val="24"/>
    </w:rPr>
  </w:style>
  <w:style w:type="character" w:customStyle="1" w:styleId="Titolo2Carattere">
    <w:name w:val="Titolo 2 Carattere"/>
    <w:link w:val="Titolo2"/>
    <w:uiPriority w:val="99"/>
    <w:locked/>
    <w:rsid w:val="002C49DA"/>
    <w:rPr>
      <w:sz w:val="24"/>
      <w:szCs w:val="24"/>
    </w:rPr>
  </w:style>
  <w:style w:type="character" w:customStyle="1" w:styleId="Titolo3Carattere">
    <w:name w:val="Titolo 3 Carattere"/>
    <w:link w:val="Titolo3"/>
    <w:uiPriority w:val="99"/>
    <w:rsid w:val="006233F3"/>
    <w:rPr>
      <w:i/>
      <w:iCs/>
    </w:rPr>
  </w:style>
  <w:style w:type="character" w:customStyle="1" w:styleId="Titolo4Carattere">
    <w:name w:val="Titolo 4 Carattere"/>
    <w:link w:val="Titolo4"/>
    <w:uiPriority w:val="99"/>
    <w:rsid w:val="002C49DA"/>
    <w:rPr>
      <w:rFonts w:ascii="Courier New" w:hAnsi="Courier New"/>
      <w:b/>
      <w:sz w:val="28"/>
    </w:rPr>
  </w:style>
  <w:style w:type="character" w:customStyle="1" w:styleId="Titolo5Carattere">
    <w:name w:val="Titolo 5 Carattere"/>
    <w:link w:val="Titolo5"/>
    <w:uiPriority w:val="99"/>
    <w:rsid w:val="002C49DA"/>
    <w:rPr>
      <w:rFonts w:ascii="Courier New" w:hAnsi="Courier New"/>
      <w:b/>
      <w:sz w:val="26"/>
    </w:rPr>
  </w:style>
  <w:style w:type="character" w:customStyle="1" w:styleId="Titolo6Carattere">
    <w:name w:val="Titolo 6 Carattere"/>
    <w:link w:val="Titolo6"/>
    <w:uiPriority w:val="99"/>
    <w:rsid w:val="002C49DA"/>
    <w:rPr>
      <w:sz w:val="24"/>
    </w:rPr>
  </w:style>
  <w:style w:type="character" w:customStyle="1" w:styleId="Titolo7Carattere">
    <w:name w:val="Titolo 7 Carattere"/>
    <w:link w:val="Titolo7"/>
    <w:uiPriority w:val="99"/>
    <w:rsid w:val="002C49DA"/>
    <w:rPr>
      <w:sz w:val="24"/>
    </w:rPr>
  </w:style>
  <w:style w:type="character" w:customStyle="1" w:styleId="Titolo8Carattere">
    <w:name w:val="Titolo 8 Carattere"/>
    <w:link w:val="Titolo8"/>
    <w:uiPriority w:val="99"/>
    <w:rsid w:val="002C49DA"/>
    <w:rPr>
      <w:i/>
      <w:iCs/>
      <w:sz w:val="24"/>
    </w:rPr>
  </w:style>
  <w:style w:type="character" w:customStyle="1" w:styleId="Titolo9Carattere">
    <w:name w:val="Titolo 9 Carattere"/>
    <w:link w:val="Titolo9"/>
    <w:uiPriority w:val="99"/>
    <w:rsid w:val="002C49DA"/>
    <w:rPr>
      <w:i/>
      <w:iCs/>
      <w:sz w:val="24"/>
    </w:rPr>
  </w:style>
  <w:style w:type="paragraph" w:customStyle="1" w:styleId="TESTO">
    <w:name w:val="TESTO"/>
    <w:uiPriority w:val="99"/>
    <w:pPr>
      <w:spacing w:line="190" w:lineRule="exact"/>
      <w:ind w:firstLine="226"/>
      <w:jc w:val="both"/>
    </w:pPr>
    <w:rPr>
      <w:rFonts w:ascii="Times" w:hAnsi="Times"/>
      <w:sz w:val="17"/>
    </w:rPr>
  </w:style>
  <w:style w:type="paragraph" w:customStyle="1" w:styleId="Occhiello">
    <w:name w:val="Occhiello"/>
    <w:uiPriority w:val="99"/>
    <w:pPr>
      <w:spacing w:line="260" w:lineRule="exact"/>
      <w:jc w:val="center"/>
    </w:pPr>
    <w:rPr>
      <w:b/>
      <w:caps/>
      <w:sz w:val="22"/>
      <w:szCs w:val="22"/>
    </w:rPr>
  </w:style>
  <w:style w:type="paragraph" w:customStyle="1" w:styleId="Titolodelcapitolo">
    <w:name w:val="Titolo del capitolo"/>
    <w:uiPriority w:val="99"/>
    <w:rsid w:val="0004427C"/>
    <w:pPr>
      <w:spacing w:after="230" w:line="230" w:lineRule="exact"/>
      <w:jc w:val="both"/>
    </w:pPr>
    <w:rPr>
      <w:rFonts w:ascii="Futura Bk BT" w:hAnsi="Futura Bk BT"/>
      <w:b/>
      <w:sz w:val="16"/>
    </w:rPr>
  </w:style>
  <w:style w:type="paragraph" w:customStyle="1" w:styleId="Titolodellalegge">
    <w:name w:val="Titolo della legge"/>
    <w:uiPriority w:val="99"/>
    <w:pPr>
      <w:spacing w:after="340" w:line="230" w:lineRule="exact"/>
      <w:jc w:val="both"/>
    </w:pPr>
  </w:style>
  <w:style w:type="paragraph" w:customStyle="1" w:styleId="Dicituraparte">
    <w:name w:val="Dicitura parte"/>
    <w:uiPriority w:val="99"/>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uiPriority w:val="99"/>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uiPriority w:val="99"/>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uiPriority w:val="99"/>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uiPriority w:val="99"/>
    <w:rPr>
      <w:b/>
      <w:caps/>
      <w:noProof w:val="0"/>
      <w:sz w:val="18"/>
      <w:szCs w:val="18"/>
      <w:lang w:val="it-IT" w:eastAsia="it-IT" w:bidi="ar-SA"/>
    </w:rPr>
  </w:style>
  <w:style w:type="paragraph" w:customStyle="1" w:styleId="Titoloni">
    <w:name w:val="Titoloni"/>
    <w:uiPriority w:val="99"/>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uiPriority w:val="99"/>
    <w:pPr>
      <w:spacing w:before="340" w:after="86" w:line="190" w:lineRule="exact"/>
      <w:jc w:val="center"/>
    </w:pPr>
    <w:rPr>
      <w:rFonts w:ascii="Times" w:hAnsi="Times"/>
      <w:caps/>
      <w:sz w:val="18"/>
    </w:rPr>
  </w:style>
  <w:style w:type="paragraph" w:customStyle="1" w:styleId="Articolo">
    <w:name w:val="Articolo"/>
    <w:uiPriority w:val="99"/>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uiPriority w:val="99"/>
  </w:style>
  <w:style w:type="paragraph" w:customStyle="1" w:styleId="DicituraLibro">
    <w:name w:val="Dicitura Libro"/>
    <w:uiPriority w:val="99"/>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uiPriority w:val="99"/>
    <w:semiHidden/>
    <w:pPr>
      <w:spacing w:before="260" w:after="86" w:line="190" w:lineRule="exact"/>
      <w:jc w:val="center"/>
    </w:pPr>
    <w:rPr>
      <w:rFonts w:ascii="Times" w:hAnsi="Times"/>
      <w:caps/>
      <w:sz w:val="18"/>
    </w:rPr>
  </w:style>
  <w:style w:type="paragraph" w:customStyle="1" w:styleId="TitolodelCapo">
    <w:name w:val="Titolo del Capo"/>
    <w:uiPriority w:val="99"/>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semiHidden/>
    <w:rsid w:val="00921774"/>
    <w:pPr>
      <w:tabs>
        <w:tab w:val="center" w:pos="4819"/>
        <w:tab w:val="right" w:pos="9638"/>
      </w:tabs>
    </w:pPr>
  </w:style>
  <w:style w:type="character" w:customStyle="1" w:styleId="IntestazioneCarattere">
    <w:name w:val="Intestazione Carattere"/>
    <w:link w:val="Intestazione"/>
    <w:semiHidden/>
    <w:locked/>
    <w:rsid w:val="002C49DA"/>
  </w:style>
  <w:style w:type="table" w:styleId="Grigliatabella">
    <w:name w:val="Table Grid"/>
    <w:basedOn w:val="Tabellanormale"/>
    <w:uiPriority w:val="99"/>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rsid w:val="003B69D6"/>
  </w:style>
  <w:style w:type="character" w:customStyle="1" w:styleId="TestonotaapidipaginaCarattere">
    <w:name w:val="Testo nota a piè di pagina Carattere"/>
    <w:link w:val="Testonotaapidipagina"/>
    <w:uiPriority w:val="99"/>
    <w:semiHidden/>
    <w:rsid w:val="006233F3"/>
  </w:style>
  <w:style w:type="character" w:styleId="Rimandonotaapidipagina">
    <w:name w:val="footnote reference"/>
    <w:uiPriority w:val="99"/>
    <w:semiHidden/>
    <w:rsid w:val="003B69D6"/>
    <w:rPr>
      <w:vertAlign w:val="superscript"/>
    </w:rPr>
  </w:style>
  <w:style w:type="paragraph" w:customStyle="1" w:styleId="Titoloparte">
    <w:name w:val="Titolo parte"/>
    <w:basedOn w:val="Capoversoconnumero"/>
    <w:uiPriority w:val="99"/>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uiPriority w:val="99"/>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uiPriority w:val="99"/>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uiPriority w:val="99"/>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uiPriority w:val="99"/>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character" w:customStyle="1" w:styleId="SommarioCarattere">
    <w:name w:val="Sommario Carattere"/>
    <w:link w:val="Sommario"/>
    <w:rsid w:val="00DC53D8"/>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uiPriority w:val="99"/>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character" w:customStyle="1" w:styleId="TitoloAttoCarattere">
    <w:name w:val="Titolo Atto Carattere"/>
    <w:link w:val="TitoloAtto"/>
    <w:uiPriority w:val="99"/>
    <w:locked/>
    <w:rsid w:val="002C49DA"/>
    <w:rPr>
      <w:rFonts w:ascii="Arial" w:hAnsi="Arial" w:cs="Arial"/>
      <w:b/>
      <w:sz w:val="22"/>
      <w:szCs w:val="22"/>
    </w:rPr>
  </w:style>
  <w:style w:type="paragraph" w:customStyle="1" w:styleId="CapoversoAtti">
    <w:name w:val="Capoverso Atti"/>
    <w:uiPriority w:val="99"/>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uiPriority w:val="99"/>
    <w:rsid w:val="00DC53D8"/>
    <w:pPr>
      <w:spacing w:before="0"/>
    </w:pPr>
  </w:style>
  <w:style w:type="paragraph" w:customStyle="1" w:styleId="Capoversoarticoli">
    <w:name w:val="Capoverso articoli"/>
    <w:uiPriority w:val="99"/>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uiPriority w:val="99"/>
    <w:rsid w:val="006233F3"/>
    <w:pPr>
      <w:jc w:val="both"/>
    </w:pPr>
  </w:style>
  <w:style w:type="character" w:customStyle="1" w:styleId="CorpotestoCarattere">
    <w:name w:val="Corpo testo Carattere"/>
    <w:basedOn w:val="Carpredefinitoparagrafo"/>
    <w:link w:val="Corpotesto"/>
    <w:uiPriority w:val="99"/>
    <w:rsid w:val="006233F3"/>
  </w:style>
  <w:style w:type="paragraph" w:customStyle="1" w:styleId="Note">
    <w:name w:val="Note"/>
    <w:uiPriority w:val="99"/>
    <w:rsid w:val="006233F3"/>
    <w:pPr>
      <w:spacing w:before="80" w:line="170" w:lineRule="exact"/>
      <w:ind w:left="227"/>
      <w:jc w:val="both"/>
    </w:pPr>
    <w:rPr>
      <w:i/>
      <w:sz w:val="15"/>
      <w:szCs w:val="15"/>
    </w:rPr>
  </w:style>
  <w:style w:type="paragraph" w:customStyle="1" w:styleId="Dicituratitolo0">
    <w:name w:val="Dicitura titolo"/>
    <w:uiPriority w:val="99"/>
    <w:rsid w:val="006233F3"/>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uiPriority w:val="99"/>
    <w:rsid w:val="006233F3"/>
    <w:rPr>
      <w:sz w:val="24"/>
    </w:rPr>
  </w:style>
  <w:style w:type="character" w:customStyle="1" w:styleId="Corpodeltesto2Carattere">
    <w:name w:val="Corpo del testo 2 Carattere"/>
    <w:link w:val="Corpodeltesto2"/>
    <w:uiPriority w:val="99"/>
    <w:rsid w:val="006233F3"/>
    <w:rPr>
      <w:sz w:val="24"/>
    </w:rPr>
  </w:style>
  <w:style w:type="paragraph" w:styleId="Corpodeltesto3">
    <w:name w:val="Body Text 3"/>
    <w:basedOn w:val="Normale"/>
    <w:link w:val="Corpodeltesto3Carattere"/>
    <w:uiPriority w:val="99"/>
    <w:rsid w:val="006233F3"/>
    <w:pPr>
      <w:jc w:val="both"/>
    </w:pPr>
    <w:rPr>
      <w:sz w:val="24"/>
    </w:rPr>
  </w:style>
  <w:style w:type="character" w:customStyle="1" w:styleId="Corpodeltesto3Carattere">
    <w:name w:val="Corpo del testo 3 Carattere"/>
    <w:link w:val="Corpodeltesto3"/>
    <w:uiPriority w:val="99"/>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99"/>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uiPriority w:val="99"/>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uiPriority w:val="99"/>
    <w:rsid w:val="006233F3"/>
    <w:rPr>
      <w:rFonts w:ascii="New York" w:hAnsi="New York"/>
      <w:sz w:val="24"/>
    </w:rPr>
  </w:style>
  <w:style w:type="paragraph" w:customStyle="1" w:styleId="tx">
    <w:name w:val="tx"/>
    <w:basedOn w:val="Normale"/>
    <w:uiPriority w:val="99"/>
    <w:rsid w:val="006233F3"/>
    <w:pPr>
      <w:spacing w:before="20" w:after="20"/>
    </w:pPr>
  </w:style>
  <w:style w:type="character" w:customStyle="1" w:styleId="risultato">
    <w:name w:val="risultato"/>
    <w:uiPriority w:val="99"/>
    <w:rsid w:val="006233F3"/>
  </w:style>
  <w:style w:type="paragraph" w:customStyle="1" w:styleId="Nessunaspaziatura1">
    <w:name w:val="Nessuna spaziatura1"/>
    <w:basedOn w:val="Normale"/>
    <w:uiPriority w:val="99"/>
    <w:rsid w:val="006233F3"/>
    <w:rPr>
      <w:sz w:val="24"/>
      <w:szCs w:val="24"/>
    </w:rPr>
  </w:style>
  <w:style w:type="character" w:customStyle="1" w:styleId="TestonotadichiusuraCarattere">
    <w:name w:val="Testo nota di chiusura Carattere"/>
    <w:link w:val="Testonotadichiusura"/>
    <w:uiPriority w:val="99"/>
    <w:semiHidden/>
    <w:locked/>
    <w:rsid w:val="002C49DA"/>
    <w:rPr>
      <w:rFonts w:ascii="Calibri" w:hAnsi="Calibri"/>
    </w:rPr>
  </w:style>
  <w:style w:type="paragraph" w:styleId="Testonotadichiusura">
    <w:name w:val="endnote text"/>
    <w:basedOn w:val="Normale"/>
    <w:link w:val="TestonotadichiusuraCarattere"/>
    <w:uiPriority w:val="99"/>
    <w:semiHidden/>
    <w:rsid w:val="002C49DA"/>
    <w:rPr>
      <w:rFonts w:ascii="Calibri" w:hAnsi="Calibri"/>
    </w:rPr>
  </w:style>
  <w:style w:type="character" w:customStyle="1" w:styleId="TestonotadichiusuraCarattere1">
    <w:name w:val="Testo nota di chiusura Carattere1"/>
    <w:basedOn w:val="Carpredefinitoparagrafo"/>
    <w:uiPriority w:val="99"/>
    <w:semiHidden/>
    <w:rsid w:val="002C49DA"/>
  </w:style>
  <w:style w:type="paragraph" w:styleId="Titolo">
    <w:name w:val="Title"/>
    <w:basedOn w:val="Normale"/>
    <w:link w:val="TitoloCarattere"/>
    <w:uiPriority w:val="99"/>
    <w:qFormat/>
    <w:rsid w:val="002C49DA"/>
    <w:pPr>
      <w:jc w:val="center"/>
    </w:pPr>
    <w:rPr>
      <w:b/>
      <w:bCs/>
      <w:sz w:val="24"/>
      <w:szCs w:val="24"/>
    </w:rPr>
  </w:style>
  <w:style w:type="character" w:customStyle="1" w:styleId="TitoloCarattere">
    <w:name w:val="Titolo Carattere"/>
    <w:link w:val="Titolo"/>
    <w:uiPriority w:val="99"/>
    <w:rsid w:val="002C49DA"/>
    <w:rPr>
      <w:b/>
      <w:bCs/>
      <w:sz w:val="24"/>
      <w:szCs w:val="24"/>
    </w:rPr>
  </w:style>
  <w:style w:type="paragraph" w:customStyle="1" w:styleId="cpv">
    <w:name w:val="cpv"/>
    <w:uiPriority w:val="99"/>
    <w:rsid w:val="002C49DA"/>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uiPriority w:val="99"/>
    <w:rsid w:val="002C49DA"/>
    <w:pPr>
      <w:ind w:left="708" w:right="-1"/>
      <w:jc w:val="both"/>
    </w:pPr>
    <w:rPr>
      <w:lang w:eastAsia="zh-CN"/>
    </w:rPr>
  </w:style>
  <w:style w:type="paragraph" w:styleId="Rientrocorpodeltesto2">
    <w:name w:val="Body Text Indent 2"/>
    <w:basedOn w:val="Normale"/>
    <w:link w:val="Rientrocorpodeltesto2Carattere"/>
    <w:uiPriority w:val="99"/>
    <w:rsid w:val="002C49DA"/>
    <w:pPr>
      <w:ind w:left="705"/>
      <w:jc w:val="both"/>
    </w:pPr>
    <w:rPr>
      <w:lang w:eastAsia="zh-CN"/>
    </w:rPr>
  </w:style>
  <w:style w:type="character" w:customStyle="1" w:styleId="Rientrocorpodeltesto2Carattere">
    <w:name w:val="Rientro corpo del testo 2 Carattere"/>
    <w:link w:val="Rientrocorpodeltesto2"/>
    <w:uiPriority w:val="99"/>
    <w:rsid w:val="002C49DA"/>
    <w:rPr>
      <w:lang w:eastAsia="zh-CN"/>
    </w:rPr>
  </w:style>
  <w:style w:type="paragraph" w:styleId="Rientrocorpodeltesto3">
    <w:name w:val="Body Text Indent 3"/>
    <w:basedOn w:val="Normale"/>
    <w:link w:val="Rientrocorpodeltesto3Carattere"/>
    <w:uiPriority w:val="99"/>
    <w:rsid w:val="002C49DA"/>
    <w:pPr>
      <w:ind w:left="705"/>
    </w:pPr>
    <w:rPr>
      <w:lang w:eastAsia="zh-CN"/>
    </w:rPr>
  </w:style>
  <w:style w:type="character" w:customStyle="1" w:styleId="Rientrocorpodeltesto3Carattere">
    <w:name w:val="Rientro corpo del testo 3 Carattere"/>
    <w:link w:val="Rientrocorpodeltesto3"/>
    <w:uiPriority w:val="99"/>
    <w:rsid w:val="002C49DA"/>
    <w:rPr>
      <w:lang w:eastAsia="zh-CN"/>
    </w:rPr>
  </w:style>
  <w:style w:type="character" w:customStyle="1" w:styleId="Macchinadascrivere">
    <w:name w:val="Macchina da scrivere"/>
    <w:uiPriority w:val="99"/>
    <w:rsid w:val="002C49DA"/>
    <w:rPr>
      <w:rFonts w:ascii="Courier New" w:hAnsi="Courier New"/>
      <w:sz w:val="20"/>
    </w:rPr>
  </w:style>
  <w:style w:type="character" w:styleId="Enfasigrassetto">
    <w:name w:val="Strong"/>
    <w:uiPriority w:val="22"/>
    <w:qFormat/>
    <w:rsid w:val="00E2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1758">
      <w:bodyDiv w:val="1"/>
      <w:marLeft w:val="0"/>
      <w:marRight w:val="0"/>
      <w:marTop w:val="780"/>
      <w:marBottom w:val="0"/>
      <w:divBdr>
        <w:top w:val="none" w:sz="0" w:space="0" w:color="auto"/>
        <w:left w:val="none" w:sz="0" w:space="0" w:color="auto"/>
        <w:bottom w:val="none" w:sz="0" w:space="0" w:color="auto"/>
        <w:right w:val="none" w:sz="0" w:space="0" w:color="auto"/>
      </w:divBdr>
      <w:divsChild>
        <w:div w:id="1979216251">
          <w:marLeft w:val="0"/>
          <w:marRight w:val="0"/>
          <w:marTop w:val="0"/>
          <w:marBottom w:val="0"/>
          <w:divBdr>
            <w:top w:val="none" w:sz="0" w:space="0" w:color="auto"/>
            <w:left w:val="none" w:sz="0" w:space="0" w:color="auto"/>
            <w:bottom w:val="none" w:sz="0" w:space="0" w:color="auto"/>
            <w:right w:val="none" w:sz="0" w:space="0" w:color="auto"/>
          </w:divBdr>
          <w:divsChild>
            <w:div w:id="1863203337">
              <w:marLeft w:val="0"/>
              <w:marRight w:val="0"/>
              <w:marTop w:val="0"/>
              <w:marBottom w:val="0"/>
              <w:divBdr>
                <w:top w:val="none" w:sz="0" w:space="0" w:color="auto"/>
                <w:left w:val="none" w:sz="0" w:space="0" w:color="auto"/>
                <w:bottom w:val="none" w:sz="0" w:space="0" w:color="auto"/>
                <w:right w:val="none" w:sz="0" w:space="0" w:color="auto"/>
              </w:divBdr>
              <w:divsChild>
                <w:div w:id="74204998">
                  <w:marLeft w:val="0"/>
                  <w:marRight w:val="0"/>
                  <w:marTop w:val="0"/>
                  <w:marBottom w:val="0"/>
                  <w:divBdr>
                    <w:top w:val="none" w:sz="0" w:space="0" w:color="auto"/>
                    <w:left w:val="none" w:sz="0" w:space="0" w:color="auto"/>
                    <w:bottom w:val="none" w:sz="0" w:space="0" w:color="auto"/>
                    <w:right w:val="none" w:sz="0" w:space="0" w:color="auto"/>
                  </w:divBdr>
                  <w:divsChild>
                    <w:div w:id="755129924">
                      <w:marLeft w:val="0"/>
                      <w:marRight w:val="0"/>
                      <w:marTop w:val="0"/>
                      <w:marBottom w:val="0"/>
                      <w:divBdr>
                        <w:top w:val="none" w:sz="0" w:space="0" w:color="auto"/>
                        <w:left w:val="none" w:sz="0" w:space="0" w:color="auto"/>
                        <w:bottom w:val="none" w:sz="0" w:space="0" w:color="auto"/>
                        <w:right w:val="none" w:sz="0" w:space="0" w:color="auto"/>
                      </w:divBdr>
                      <w:divsChild>
                        <w:div w:id="649293025">
                          <w:marLeft w:val="0"/>
                          <w:marRight w:val="0"/>
                          <w:marTop w:val="0"/>
                          <w:marBottom w:val="0"/>
                          <w:divBdr>
                            <w:top w:val="none" w:sz="0" w:space="0" w:color="auto"/>
                            <w:left w:val="none" w:sz="0" w:space="0" w:color="auto"/>
                            <w:bottom w:val="none" w:sz="0" w:space="0" w:color="auto"/>
                            <w:right w:val="none" w:sz="0" w:space="0" w:color="auto"/>
                          </w:divBdr>
                          <w:divsChild>
                            <w:div w:id="192618913">
                              <w:marLeft w:val="0"/>
                              <w:marRight w:val="0"/>
                              <w:marTop w:val="0"/>
                              <w:marBottom w:val="0"/>
                              <w:divBdr>
                                <w:top w:val="none" w:sz="0" w:space="0" w:color="auto"/>
                                <w:left w:val="none" w:sz="0" w:space="0" w:color="auto"/>
                                <w:bottom w:val="none" w:sz="0" w:space="0" w:color="auto"/>
                                <w:right w:val="none" w:sz="0" w:space="0" w:color="auto"/>
                              </w:divBdr>
                              <w:divsChild>
                                <w:div w:id="460341403">
                                  <w:marLeft w:val="0"/>
                                  <w:marRight w:val="0"/>
                                  <w:marTop w:val="0"/>
                                  <w:marBottom w:val="0"/>
                                  <w:divBdr>
                                    <w:top w:val="none" w:sz="0" w:space="0" w:color="auto"/>
                                    <w:left w:val="none" w:sz="0" w:space="0" w:color="auto"/>
                                    <w:bottom w:val="none" w:sz="0" w:space="0" w:color="auto"/>
                                    <w:right w:val="none" w:sz="0" w:space="0" w:color="auto"/>
                                  </w:divBdr>
                                  <w:divsChild>
                                    <w:div w:id="7976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E74A-D767-4B75-B24B-4B747ABE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156</Words>
  <Characters>893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42</cp:revision>
  <cp:lastPrinted>2016-03-21T16:31:00Z</cp:lastPrinted>
  <dcterms:created xsi:type="dcterms:W3CDTF">2015-09-16T14:05:00Z</dcterms:created>
  <dcterms:modified xsi:type="dcterms:W3CDTF">2016-06-01T14:56:00Z</dcterms:modified>
</cp:coreProperties>
</file>