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tblInd w:w="108" w:type="dxa"/>
        <w:tblLook w:val="0000" w:firstRow="0" w:lastRow="0" w:firstColumn="0" w:lastColumn="0" w:noHBand="0" w:noVBand="0"/>
      </w:tblPr>
      <w:tblGrid>
        <w:gridCol w:w="537"/>
        <w:gridCol w:w="5984"/>
      </w:tblGrid>
      <w:tr w:rsidR="007C4C3E" w:rsidRPr="00A17ECC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vAlign w:val="center"/>
          </w:tcPr>
          <w:p w:rsidR="007C4C3E" w:rsidRPr="00A17ECC" w:rsidRDefault="007B763D" w:rsidP="0054668A">
            <w:pPr>
              <w:pStyle w:val="DicituraAtto"/>
            </w:pPr>
            <w:r w:rsidRPr="00A17ECC">
              <w:t>45</w:t>
            </w:r>
            <w:r w:rsidR="0054668A" w:rsidRPr="00A17ECC">
              <w:t>8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7C4C3E" w:rsidRPr="00A17ECC" w:rsidRDefault="007C4C3E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7C4C3E" w:rsidRPr="00A17ECC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7C4C3E" w:rsidRPr="00A17ECC" w:rsidRDefault="007C4C3E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7C4C3E" w:rsidRPr="00A17ECC" w:rsidRDefault="00395AF7" w:rsidP="007668DD">
            <w:pPr>
              <w:pStyle w:val="TitoloAtto"/>
            </w:pPr>
            <w:r w:rsidRPr="007668DD">
              <w:rPr>
                <w:spacing w:val="-2"/>
              </w:rPr>
              <w:t>Domanda di oblazione</w:t>
            </w:r>
            <w:r w:rsidRPr="007668DD">
              <w:rPr>
                <w:snapToGrid w:val="0"/>
                <w:spacing w:val="-2"/>
                <w:u w:color="000000"/>
              </w:rPr>
              <w:t xml:space="preserve"> nel procedimento dinanzi al </w:t>
            </w:r>
            <w:r w:rsidR="007668DD" w:rsidRPr="007668DD">
              <w:rPr>
                <w:snapToGrid w:val="0"/>
                <w:spacing w:val="-2"/>
                <w:u w:color="000000"/>
              </w:rPr>
              <w:t>G</w:t>
            </w:r>
            <w:r w:rsidRPr="007668DD">
              <w:rPr>
                <w:snapToGrid w:val="0"/>
                <w:spacing w:val="-2"/>
                <w:u w:color="000000"/>
              </w:rPr>
              <w:t>iu</w:t>
            </w:r>
            <w:r w:rsidR="007B763D" w:rsidRPr="007668DD">
              <w:rPr>
                <w:snapToGrid w:val="0"/>
                <w:spacing w:val="-2"/>
                <w:u w:color="000000"/>
              </w:rPr>
              <w:softHyphen/>
            </w:r>
            <w:r w:rsidR="007668DD" w:rsidRPr="007668DD">
              <w:rPr>
                <w:snapToGrid w:val="0"/>
                <w:spacing w:val="-2"/>
                <w:u w:color="000000"/>
              </w:rPr>
              <w:softHyphen/>
            </w:r>
            <w:r w:rsidRPr="007668DD">
              <w:rPr>
                <w:snapToGrid w:val="0"/>
                <w:spacing w:val="-2"/>
                <w:u w:color="000000"/>
              </w:rPr>
              <w:t>dice</w:t>
            </w:r>
            <w:r w:rsidRPr="00A17ECC">
              <w:rPr>
                <w:snapToGrid w:val="0"/>
                <w:u w:color="000000"/>
              </w:rPr>
              <w:t xml:space="preserve"> di pace </w:t>
            </w:r>
            <w:r w:rsidRPr="00A17ECC">
              <w:rPr>
                <w:rStyle w:val="Rimandonotaapidipagina"/>
                <w:b w:val="0"/>
                <w:caps/>
                <w:snapToGrid w:val="0"/>
                <w:color w:val="000000"/>
                <w:u w:color="000000"/>
              </w:rPr>
              <w:footnoteReference w:id="1"/>
            </w:r>
          </w:p>
        </w:tc>
      </w:tr>
    </w:tbl>
    <w:p w:rsidR="007C4C3E" w:rsidRPr="00A17ECC" w:rsidRDefault="007C4C3E">
      <w:pPr>
        <w:pStyle w:val="CapoversoAtti"/>
      </w:pPr>
    </w:p>
    <w:p w:rsidR="007C4C3E" w:rsidRPr="00A17ECC" w:rsidRDefault="007C4C3E">
      <w:pPr>
        <w:pStyle w:val="CapoversoAtti"/>
      </w:pPr>
    </w:p>
    <w:p w:rsidR="007C4C3E" w:rsidRPr="00A17ECC" w:rsidRDefault="007C4C3E">
      <w:pPr>
        <w:pStyle w:val="CapoversoAtti"/>
      </w:pPr>
    </w:p>
    <w:p w:rsidR="007C4C3E" w:rsidRPr="00A17ECC" w:rsidRDefault="00395AF7">
      <w:pPr>
        <w:pStyle w:val="CapoversoAtti"/>
        <w:jc w:val="center"/>
      </w:pPr>
      <w:r w:rsidRPr="00A17ECC">
        <w:t>Giudice di pace di … … …</w:t>
      </w:r>
      <w:r w:rsidRPr="00A17ECC">
        <w:rPr>
          <w:snapToGrid w:val="0"/>
          <w:color w:val="000000"/>
          <w:u w:color="000000"/>
        </w:rPr>
        <w:t> </w:t>
      </w:r>
      <w:r w:rsidRPr="00A17ECC">
        <w:rPr>
          <w:rStyle w:val="Rimandonotaapidipagina"/>
          <w:snapToGrid w:val="0"/>
          <w:color w:val="000000"/>
          <w:u w:color="000000"/>
        </w:rPr>
        <w:footnoteReference w:id="2"/>
      </w:r>
    </w:p>
    <w:p w:rsidR="007C4C3E" w:rsidRPr="00A17ECC" w:rsidRDefault="007C4C3E">
      <w:pPr>
        <w:pStyle w:val="CapoversoAtti"/>
      </w:pPr>
    </w:p>
    <w:p w:rsidR="007C4C3E" w:rsidRPr="00A17ECC" w:rsidRDefault="007C4C3E">
      <w:pPr>
        <w:pStyle w:val="CapoversoAtti"/>
      </w:pPr>
    </w:p>
    <w:p w:rsidR="007C4C3E" w:rsidRPr="00A17ECC" w:rsidRDefault="00395AF7">
      <w:pPr>
        <w:pStyle w:val="CapoversoAtti"/>
      </w:pPr>
      <w:r w:rsidRPr="00A17ECC">
        <w:t>Il sottoscritto Avv. ... … … (nome e cognome), difensore di ... ... … (nome e cognome), imputato nel procedimento penale n. ... ... ... in virtù di procura speciale conferita ai sensi dell</w:t>
      </w:r>
      <w:r w:rsidR="00490F09" w:rsidRPr="00A17ECC">
        <w:t>’</w:t>
      </w:r>
      <w:r w:rsidRPr="00A17ECC">
        <w:t>art. 122 c.p.p.</w:t>
      </w:r>
      <w:r w:rsidRPr="00A17ECC">
        <w:rPr>
          <w:snapToGrid w:val="0"/>
          <w:color w:val="000000"/>
          <w:u w:color="000000"/>
        </w:rPr>
        <w:t> </w:t>
      </w:r>
      <w:r w:rsidRPr="00A17ECC">
        <w:rPr>
          <w:rStyle w:val="Rimandonotaapidipagina"/>
          <w:snapToGrid w:val="0"/>
          <w:color w:val="000000"/>
          <w:u w:color="000000"/>
        </w:rPr>
        <w:footnoteReference w:id="3"/>
      </w:r>
      <w:r w:rsidRPr="00A17ECC">
        <w:t xml:space="preserve"> e allegata in calce</w:t>
      </w:r>
    </w:p>
    <w:p w:rsidR="007C4C3E" w:rsidRPr="00A17ECC" w:rsidRDefault="007C4C3E">
      <w:pPr>
        <w:pStyle w:val="CapoversoAtti"/>
      </w:pPr>
    </w:p>
    <w:p w:rsidR="007C4C3E" w:rsidRPr="00A17ECC" w:rsidRDefault="00395AF7">
      <w:pPr>
        <w:pStyle w:val="CapoversoAtti"/>
        <w:jc w:val="center"/>
        <w:rPr>
          <w:i/>
        </w:rPr>
      </w:pPr>
      <w:r w:rsidRPr="00A17ECC">
        <w:rPr>
          <w:i/>
        </w:rPr>
        <w:t>premesso</w:t>
      </w:r>
    </w:p>
    <w:p w:rsidR="007C4C3E" w:rsidRPr="00A17ECC" w:rsidRDefault="007C4C3E">
      <w:pPr>
        <w:pStyle w:val="CapoversoAtti"/>
      </w:pPr>
    </w:p>
    <w:p w:rsidR="007C4C3E" w:rsidRPr="00A17ECC" w:rsidRDefault="00395AF7">
      <w:pPr>
        <w:pStyle w:val="CapoversoAtti"/>
      </w:pPr>
      <w:r w:rsidRPr="00A17ECC">
        <w:t xml:space="preserve">– che non è ancora </w:t>
      </w:r>
      <w:r w:rsidR="00587A8F" w:rsidRPr="00A17ECC">
        <w:t>stato</w:t>
      </w:r>
      <w:r w:rsidRPr="00A17ECC">
        <w:t xml:space="preserve"> aperto il dibattimento;</w:t>
      </w:r>
    </w:p>
    <w:p w:rsidR="007C4C3E" w:rsidRPr="00A17ECC" w:rsidRDefault="00395AF7">
      <w:pPr>
        <w:pStyle w:val="CapoversoAtti"/>
        <w:rPr>
          <w:color w:val="000000"/>
        </w:rPr>
      </w:pPr>
      <w:r w:rsidRPr="00A17ECC">
        <w:t>– che l</w:t>
      </w:r>
      <w:r w:rsidR="00490F09" w:rsidRPr="00A17ECC">
        <w:t>’</w:t>
      </w:r>
      <w:r w:rsidRPr="00A17ECC">
        <w:t>imputato è chiamato a rispondere della contravvenzione di cui all</w:t>
      </w:r>
      <w:r w:rsidR="00490F09" w:rsidRPr="00A17ECC">
        <w:t>’</w:t>
      </w:r>
      <w:r w:rsidRPr="00A17ECC">
        <w:t>art. … ... ..., punita con sola la pena dell</w:t>
      </w:r>
      <w:r w:rsidR="00490F09" w:rsidRPr="00A17ECC">
        <w:t>’</w:t>
      </w:r>
      <w:r w:rsidRPr="00A17ECC">
        <w:t xml:space="preserve">ammenda (oppure: “punita con la pena </w:t>
      </w:r>
      <w:r w:rsidRPr="00A17ECC">
        <w:rPr>
          <w:spacing w:val="2"/>
        </w:rPr>
        <w:t>dell</w:t>
      </w:r>
      <w:r w:rsidR="00490F09" w:rsidRPr="00A17ECC">
        <w:rPr>
          <w:spacing w:val="2"/>
        </w:rPr>
        <w:t>’</w:t>
      </w:r>
      <w:r w:rsidRPr="00A17ECC">
        <w:rPr>
          <w:spacing w:val="2"/>
        </w:rPr>
        <w:t>am</w:t>
      </w:r>
      <w:r w:rsidR="007B763D" w:rsidRPr="00A17ECC">
        <w:rPr>
          <w:spacing w:val="2"/>
        </w:rPr>
        <w:softHyphen/>
      </w:r>
      <w:r w:rsidRPr="00A17ECC">
        <w:rPr>
          <w:spacing w:val="2"/>
        </w:rPr>
        <w:t xml:space="preserve">menda in alternativa a quella della </w:t>
      </w:r>
      <w:r w:rsidRPr="00A17ECC">
        <w:rPr>
          <w:color w:val="000000"/>
          <w:spacing w:val="2"/>
        </w:rPr>
        <w:t xml:space="preserve">permanenza domiciliare o del lavoro di pubblica </w:t>
      </w:r>
      <w:r w:rsidRPr="00A17ECC">
        <w:t>utilità</w:t>
      </w:r>
      <w:r w:rsidRPr="00A17ECC">
        <w:rPr>
          <w:color w:val="000000"/>
          <w:spacing w:val="2"/>
        </w:rPr>
        <w:t>, sicché il reato stesso, in base alla clausola di cui all</w:t>
      </w:r>
      <w:r w:rsidR="00490F09" w:rsidRPr="00A17ECC">
        <w:rPr>
          <w:color w:val="000000"/>
          <w:spacing w:val="2"/>
        </w:rPr>
        <w:t>’</w:t>
      </w:r>
      <w:r w:rsidRPr="00A17ECC">
        <w:rPr>
          <w:color w:val="000000"/>
          <w:spacing w:val="2"/>
        </w:rPr>
        <w:t>art. 58, comma 1, d.lgs. n. 274 del 2000, «per ogni effetto giuridico» deve ritenersi punito con pena alternativa, detentiva o pecuniaria agli effetti dell</w:t>
      </w:r>
      <w:r w:rsidR="00490F09" w:rsidRPr="00A17ECC">
        <w:rPr>
          <w:color w:val="000000"/>
          <w:spacing w:val="2"/>
        </w:rPr>
        <w:t>’</w:t>
      </w:r>
      <w:r w:rsidRPr="00A17ECC">
        <w:rPr>
          <w:color w:val="000000"/>
          <w:spacing w:val="2"/>
        </w:rPr>
        <w:t>art. 162</w:t>
      </w:r>
      <w:r w:rsidR="00A17ECC" w:rsidRPr="00A17ECC">
        <w:rPr>
          <w:i/>
          <w:color w:val="000000"/>
          <w:spacing w:val="2"/>
        </w:rPr>
        <w:t>-</w:t>
      </w:r>
      <w:r w:rsidR="00587A8F" w:rsidRPr="00A17ECC">
        <w:rPr>
          <w:i/>
          <w:color w:val="000000"/>
          <w:spacing w:val="2"/>
        </w:rPr>
        <w:t xml:space="preserve">bis </w:t>
      </w:r>
      <w:r w:rsidRPr="00A17ECC">
        <w:rPr>
          <w:color w:val="000000"/>
          <w:spacing w:val="2"/>
        </w:rPr>
        <w:t>c.p.”)</w:t>
      </w:r>
      <w:r w:rsidRPr="00A17ECC">
        <w:rPr>
          <w:snapToGrid w:val="0"/>
          <w:color w:val="000000"/>
          <w:spacing w:val="2"/>
          <w:u w:color="000000"/>
        </w:rPr>
        <w:t> </w:t>
      </w:r>
      <w:r w:rsidRPr="00A17ECC">
        <w:rPr>
          <w:rStyle w:val="Rimandonotaapidipagina"/>
          <w:snapToGrid w:val="0"/>
          <w:color w:val="000000"/>
          <w:spacing w:val="2"/>
          <w:u w:color="000000"/>
        </w:rPr>
        <w:footnoteReference w:id="4"/>
      </w:r>
      <w:r w:rsidRPr="00A17ECC">
        <w:rPr>
          <w:color w:val="000000"/>
          <w:spacing w:val="2"/>
        </w:rPr>
        <w:t>;</w:t>
      </w:r>
    </w:p>
    <w:p w:rsidR="007C4C3E" w:rsidRPr="00A17ECC" w:rsidRDefault="00395AF7">
      <w:pPr>
        <w:pStyle w:val="CapoversoAtti"/>
      </w:pPr>
      <w:r w:rsidRPr="00A17ECC">
        <w:t>– che l</w:t>
      </w:r>
      <w:r w:rsidR="00490F09" w:rsidRPr="00A17ECC">
        <w:t>’</w:t>
      </w:r>
      <w:r w:rsidRPr="00A17ECC">
        <w:t>imputato non versa nelle condizioni ostative soggettive previste dagli artt. 99, comma 4, 104 e 105 c.p.</w:t>
      </w:r>
      <w:r w:rsidRPr="00A17ECC">
        <w:rPr>
          <w:snapToGrid w:val="0"/>
          <w:color w:val="000000"/>
          <w:u w:color="000000"/>
        </w:rPr>
        <w:t> </w:t>
      </w:r>
      <w:r w:rsidRPr="00A17ECC">
        <w:rPr>
          <w:rStyle w:val="Rimandonotaapidipagina"/>
          <w:snapToGrid w:val="0"/>
          <w:color w:val="000000"/>
          <w:u w:color="000000"/>
        </w:rPr>
        <w:footnoteReference w:id="5"/>
      </w:r>
      <w:r w:rsidRPr="00A17ECC">
        <w:t>;</w:t>
      </w:r>
    </w:p>
    <w:p w:rsidR="007C4C3E" w:rsidRPr="00A17ECC" w:rsidRDefault="00395AF7">
      <w:pPr>
        <w:pStyle w:val="CapoversoAtti"/>
      </w:pPr>
      <w:r w:rsidRPr="00A17ECC">
        <w:lastRenderedPageBreak/>
        <w:t>– che non permangono conseguenze dannose o pericolose del reato eliminabili da parte del contravventore e che si tratta di fatti di modesta entità od, in ogni caso, non particolarmente gravi, in quanto … … …</w:t>
      </w:r>
      <w:r w:rsidRPr="00A17ECC">
        <w:rPr>
          <w:snapToGrid w:val="0"/>
          <w:color w:val="000000"/>
          <w:u w:color="000000"/>
        </w:rPr>
        <w:t> </w:t>
      </w:r>
      <w:r w:rsidRPr="00A17ECC">
        <w:rPr>
          <w:rStyle w:val="Rimandonotaapidipagina"/>
          <w:snapToGrid w:val="0"/>
          <w:color w:val="000000"/>
          <w:u w:color="000000"/>
        </w:rPr>
        <w:footnoteReference w:id="6"/>
      </w:r>
      <w:r w:rsidRPr="00A17ECC">
        <w:t>);</w:t>
      </w:r>
    </w:p>
    <w:p w:rsidR="007C4C3E" w:rsidRPr="00A17ECC" w:rsidRDefault="00395AF7">
      <w:pPr>
        <w:pStyle w:val="CapoversoAtti"/>
      </w:pPr>
      <w:r w:rsidRPr="00A17ECC">
        <w:rPr>
          <w:smallCaps/>
        </w:rPr>
        <w:t xml:space="preserve">– </w:t>
      </w:r>
      <w:r w:rsidRPr="00A17ECC">
        <w:t>che sussistono le condizioni di legge affinché l</w:t>
      </w:r>
      <w:r w:rsidR="00490F09" w:rsidRPr="00A17ECC">
        <w:t>’</w:t>
      </w:r>
      <w:r w:rsidRPr="00A17ECC">
        <w:t>imputato sia ammesso al beneficio dell</w:t>
      </w:r>
      <w:r w:rsidR="00490F09" w:rsidRPr="00A17ECC">
        <w:t>’</w:t>
      </w:r>
      <w:r w:rsidRPr="00A17ECC">
        <w:t>oblazione, previo pagamento del terzo (oppure: “della metà”) del massimo edittale</w:t>
      </w:r>
      <w:r w:rsidRPr="00A17ECC">
        <w:rPr>
          <w:snapToGrid w:val="0"/>
          <w:color w:val="000000"/>
          <w:u w:color="000000"/>
        </w:rPr>
        <w:t> </w:t>
      </w:r>
      <w:r w:rsidRPr="00A17ECC">
        <w:rPr>
          <w:rStyle w:val="Rimandonotaapidipagina"/>
          <w:snapToGrid w:val="0"/>
          <w:color w:val="000000"/>
          <w:u w:color="000000"/>
        </w:rPr>
        <w:footnoteReference w:id="7"/>
      </w:r>
      <w:r w:rsidRPr="00A17ECC">
        <w:t xml:space="preserve"> e delle spese processuali;</w:t>
      </w:r>
    </w:p>
    <w:p w:rsidR="007C4C3E" w:rsidRPr="00A17ECC" w:rsidRDefault="007C4C3E">
      <w:pPr>
        <w:pStyle w:val="CapoversoAtti"/>
      </w:pPr>
    </w:p>
    <w:p w:rsidR="007C4C3E" w:rsidRPr="00A17ECC" w:rsidRDefault="00395AF7">
      <w:pPr>
        <w:pStyle w:val="CapoversoAtti"/>
        <w:jc w:val="center"/>
        <w:rPr>
          <w:i/>
        </w:rPr>
      </w:pPr>
      <w:r w:rsidRPr="00A17ECC">
        <w:rPr>
          <w:i/>
        </w:rPr>
        <w:t>chiede</w:t>
      </w:r>
    </w:p>
    <w:p w:rsidR="007C4C3E" w:rsidRPr="00A17ECC" w:rsidRDefault="007C4C3E">
      <w:pPr>
        <w:pStyle w:val="CapoversoAtti"/>
      </w:pPr>
    </w:p>
    <w:p w:rsidR="007C4C3E" w:rsidRPr="00A17ECC" w:rsidRDefault="00395AF7">
      <w:pPr>
        <w:pStyle w:val="CapoversoAtti"/>
      </w:pPr>
      <w:r w:rsidRPr="00A17ECC">
        <w:t>che l</w:t>
      </w:r>
      <w:r w:rsidR="00490F09" w:rsidRPr="00A17ECC">
        <w:t>’</w:t>
      </w:r>
      <w:r w:rsidRPr="00A17ECC">
        <w:t>imputato venga ammesso all</w:t>
      </w:r>
      <w:r w:rsidR="00490F09" w:rsidRPr="00A17ECC">
        <w:t>’</w:t>
      </w:r>
      <w:r w:rsidRPr="00A17ECC">
        <w:t>oblazione ai sensi dell</w:t>
      </w:r>
      <w:r w:rsidR="00490F09" w:rsidRPr="00A17ECC">
        <w:t>’</w:t>
      </w:r>
      <w:r w:rsidRPr="00A17ECC">
        <w:t>art. 162 (oppure: “162</w:t>
      </w:r>
      <w:r w:rsidR="00A17ECC" w:rsidRPr="00A17ECC">
        <w:rPr>
          <w:i/>
        </w:rPr>
        <w:t>-</w:t>
      </w:r>
      <w:r w:rsidR="00587A8F" w:rsidRPr="00A17ECC">
        <w:rPr>
          <w:i/>
        </w:rPr>
        <w:t>bis</w:t>
      </w:r>
      <w:r w:rsidR="00587A8F" w:rsidRPr="00A17ECC">
        <w:rPr>
          <w:i/>
          <w:sz w:val="14"/>
          <w:szCs w:val="14"/>
        </w:rPr>
        <w:t> </w:t>
      </w:r>
      <w:r w:rsidRPr="00A17ECC">
        <w:t>”) c.p. e, conseguentemente, al pagamento della somma stabilita dalla legge, oltre alle spese processuali, previo parere del p.m., con riserva di depositare la prova dell</w:t>
      </w:r>
      <w:r w:rsidR="00490F09" w:rsidRPr="00A17ECC">
        <w:t>’</w:t>
      </w:r>
      <w:r w:rsidRPr="00A17ECC">
        <w:t>avvenuto pagamento all</w:t>
      </w:r>
      <w:r w:rsidR="00490F09" w:rsidRPr="00A17ECC">
        <w:t>’</w:t>
      </w:r>
      <w:r w:rsidRPr="00A17ECC">
        <w:t>udienza di rinvio che il Giudice vorrà fissare.</w:t>
      </w:r>
    </w:p>
    <w:p w:rsidR="007C4C3E" w:rsidRPr="00A17ECC" w:rsidRDefault="007C4C3E">
      <w:pPr>
        <w:pStyle w:val="CapoversoAtti"/>
      </w:pPr>
    </w:p>
    <w:p w:rsidR="007C4C3E" w:rsidRPr="00A17ECC" w:rsidRDefault="00395AF7">
      <w:pPr>
        <w:pStyle w:val="CapoversoAtti"/>
      </w:pPr>
      <w:r w:rsidRPr="00A17ECC">
        <w:t>Luogo e data</w:t>
      </w:r>
    </w:p>
    <w:p w:rsidR="007C4C3E" w:rsidRPr="00A17ECC" w:rsidRDefault="007C4C3E">
      <w:pPr>
        <w:pStyle w:val="CapoversoAtti"/>
      </w:pPr>
    </w:p>
    <w:p w:rsidR="007C4C3E" w:rsidRPr="00A17ECC" w:rsidRDefault="00395AF7">
      <w:pPr>
        <w:pStyle w:val="CapoversoAtti"/>
        <w:jc w:val="right"/>
      </w:pPr>
      <w:r w:rsidRPr="00A17ECC">
        <w:t>Sottoscrizione del difensore</w:t>
      </w:r>
      <w:bookmarkStart w:id="0" w:name="_GoBack"/>
      <w:bookmarkEnd w:id="0"/>
    </w:p>
    <w:sectPr w:rsidR="007C4C3E" w:rsidRPr="00A17ECC" w:rsidSect="007B76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329" w:rsidRDefault="00210329">
      <w:r>
        <w:separator/>
      </w:r>
    </w:p>
    <w:p w:rsidR="00210329" w:rsidRDefault="00210329"/>
    <w:p w:rsidR="00210329" w:rsidRDefault="00210329"/>
    <w:p w:rsidR="00210329" w:rsidRDefault="00210329"/>
  </w:endnote>
  <w:endnote w:type="continuationSeparator" w:id="0">
    <w:p w:rsidR="00210329" w:rsidRDefault="00210329">
      <w:r>
        <w:continuationSeparator/>
      </w:r>
    </w:p>
    <w:p w:rsidR="00210329" w:rsidRDefault="00210329"/>
    <w:p w:rsidR="00210329" w:rsidRDefault="00210329"/>
    <w:p w:rsidR="00210329" w:rsidRDefault="002103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896" w:rsidRDefault="00EB189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896" w:rsidRDefault="00EB189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896" w:rsidRDefault="00EB189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210329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329" w:rsidRDefault="00210329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210329" w:rsidRDefault="00210329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210329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329" w:rsidRDefault="00210329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210329" w:rsidRDefault="00210329">
      <w:pPr>
        <w:spacing w:line="100" w:lineRule="exact"/>
        <w:rPr>
          <w:sz w:val="10"/>
          <w:szCs w:val="10"/>
        </w:rPr>
      </w:pPr>
    </w:p>
  </w:footnote>
  <w:footnote w:id="1">
    <w:p w:rsidR="00B25D49" w:rsidRDefault="00B25D49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Per comodità espositiva, viene proposto un modello unico valevole tanto per la richiesta di oblazione obbligatoria che per l’ipotesi di oblazione speciale. Alla formula-base, concernente l’istan</w:t>
      </w:r>
      <w:r w:rsidR="007B763D">
        <w:softHyphen/>
      </w:r>
      <w:r>
        <w:t xml:space="preserve">za formulata </w:t>
      </w:r>
      <w:r>
        <w:rPr>
          <w:i/>
        </w:rPr>
        <w:t>ex</w:t>
      </w:r>
      <w:r>
        <w:t xml:space="preserve"> art. 162 c.p., tra parentesi sono altresì indicati, in aggiunta od in alternativa, gli elementi a sostegno dell’istanza </w:t>
      </w:r>
      <w:r>
        <w:rPr>
          <w:i/>
        </w:rPr>
        <w:t>ex</w:t>
      </w:r>
      <w:r>
        <w:t xml:space="preserve"> art. 162</w:t>
      </w:r>
      <w:r w:rsidR="00A17ECC">
        <w:t>-</w:t>
      </w:r>
      <w:r>
        <w:rPr>
          <w:i/>
        </w:rPr>
        <w:t>bis</w:t>
      </w:r>
      <w:r>
        <w:t xml:space="preserve"> c.p.</w:t>
      </w:r>
    </w:p>
  </w:footnote>
  <w:footnote w:id="2">
    <w:p w:rsidR="00B25D49" w:rsidRDefault="00B25D49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Oppure: “Procuratore della Repubblica”, quando le indagini preliminari siano ancora in corso e non sia stato ancora emesso il decreto di citazione a giudizio da parte del p.m., ovvero il decreto di convocazione delle parti da parte del Giudice di pace su ricorso immediato della persona offesa.</w:t>
      </w:r>
    </w:p>
  </w:footnote>
  <w:footnote w:id="3">
    <w:p w:rsidR="00B25D49" w:rsidRDefault="00B25D49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Trattandosi di atto personalissimo è necessaria la procura speciale da parte del difensore. Diversamente, la domanda di oblazione è proponibile dall’imputato personalmente con analogo atto a propria firma ovvero, più semplicemente, con dichiarazione resa a verbale in udienza.</w:t>
      </w:r>
    </w:p>
  </w:footnote>
  <w:footnote w:id="4">
    <w:p w:rsidR="00B25D49" w:rsidRDefault="00B25D49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Nel caso di richiesta di oblazione discrezionale, vale la pena richiamare la clausola di cui al</w:t>
      </w:r>
      <w:r w:rsidR="007B763D">
        <w:softHyphen/>
      </w:r>
      <w:r>
        <w:t>l’art. 58, comma 1, d.lgs. n. 274 del 2000 perché è in forza di essa che la giurisprudenza di legittimità ha argomentato a favore dell’</w:t>
      </w:r>
      <w:proofErr w:type="spellStart"/>
      <w:r>
        <w:t>oblazionabilità</w:t>
      </w:r>
      <w:proofErr w:type="spellEnd"/>
      <w:r>
        <w:t xml:space="preserve"> </w:t>
      </w:r>
      <w:r>
        <w:rPr>
          <w:i/>
        </w:rPr>
        <w:t>ex</w:t>
      </w:r>
      <w:r>
        <w:t xml:space="preserve"> art. 162</w:t>
      </w:r>
      <w:r w:rsidR="00A17ECC">
        <w:t>-</w:t>
      </w:r>
      <w:r>
        <w:rPr>
          <w:i/>
        </w:rPr>
        <w:t>bis</w:t>
      </w:r>
      <w:r>
        <w:t xml:space="preserve"> c.p. delle contravvenzioni di competenza del Giudice di pace punite con pena alternativa. V. Quadro essenziale § V, 2.</w:t>
      </w:r>
    </w:p>
  </w:footnote>
  <w:footnote w:id="5">
    <w:p w:rsidR="00B25D49" w:rsidRDefault="00B25D49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 xml:space="preserve">Elemento accessorio, da inserire solo in caso di istanza </w:t>
      </w:r>
      <w:r>
        <w:rPr>
          <w:i/>
        </w:rPr>
        <w:t>ex</w:t>
      </w:r>
      <w:r>
        <w:t xml:space="preserve"> art. 162</w:t>
      </w:r>
      <w:r w:rsidR="00A17ECC">
        <w:t>-</w:t>
      </w:r>
      <w:r>
        <w:rPr>
          <w:i/>
        </w:rPr>
        <w:t>bis</w:t>
      </w:r>
      <w:r>
        <w:t xml:space="preserve"> c.p., allo scopo di dar atto dell’assenza delle preclusioni soggettive (recidiva reiterata, abitualità nelle contravvenzioni o professionalità nel reato). Peraltro, </w:t>
      </w:r>
      <w:r>
        <w:rPr>
          <w:color w:val="000000"/>
        </w:rPr>
        <w:t>i precedenti penali – indipendentemente dalla circostanza che essi siano ostativi o meno all’ammissione all’oblazione discrezionale (art. 162</w:t>
      </w:r>
      <w:r w:rsidR="00A17ECC">
        <w:rPr>
          <w:color w:val="000000"/>
        </w:rPr>
        <w:t>-</w:t>
      </w:r>
      <w:r>
        <w:rPr>
          <w:i/>
          <w:color w:val="000000"/>
        </w:rPr>
        <w:t>bis</w:t>
      </w:r>
      <w:r>
        <w:rPr>
          <w:color w:val="000000"/>
        </w:rPr>
        <w:t>, comma 3, c.p.) – possono essere considerati negativamente ai fini della sussistenza della gravità del reato, anche in assenza di una formale contestazione della recidiva (</w:t>
      </w:r>
      <w:proofErr w:type="spellStart"/>
      <w:proofErr w:type="gramStart"/>
      <w:r>
        <w:rPr>
          <w:color w:val="000000"/>
        </w:rPr>
        <w:t>Cass</w:t>
      </w:r>
      <w:proofErr w:type="spellEnd"/>
      <w:r>
        <w:rPr>
          <w:color w:val="000000"/>
        </w:rPr>
        <w:t>.,</w:t>
      </w:r>
      <w:proofErr w:type="gramEnd"/>
      <w:r>
        <w:rPr>
          <w:color w:val="000000"/>
        </w:rPr>
        <w:t xml:space="preserve"> sez. IV, 11 aprile 2006, Castellana, </w:t>
      </w:r>
      <w:r>
        <w:rPr>
          <w:i/>
          <w:color w:val="000000"/>
        </w:rPr>
        <w:t xml:space="preserve">CED </w:t>
      </w:r>
      <w:proofErr w:type="spellStart"/>
      <w:r>
        <w:rPr>
          <w:i/>
          <w:color w:val="000000"/>
        </w:rPr>
        <w:t>Cass</w:t>
      </w:r>
      <w:proofErr w:type="spellEnd"/>
      <w:r>
        <w:rPr>
          <w:i/>
          <w:color w:val="000000"/>
        </w:rPr>
        <w:t>.</w:t>
      </w:r>
      <w:r>
        <w:rPr>
          <w:color w:val="000000"/>
        </w:rPr>
        <w:t>, 234571).</w:t>
      </w:r>
      <w:r>
        <w:t xml:space="preserve"> </w:t>
      </w:r>
    </w:p>
  </w:footnote>
  <w:footnote w:id="6">
    <w:p w:rsidR="00B25D49" w:rsidRDefault="00B25D49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Inserire, se del caso, gli indici favorevoli ed i fattori positivi che dimostrano, in concreto, l’as</w:t>
      </w:r>
      <w:r w:rsidR="007B763D">
        <w:softHyphen/>
      </w:r>
      <w:r>
        <w:t xml:space="preserve">senza di preclusioni oggettive all’accoglimento dell’istanza </w:t>
      </w:r>
      <w:r>
        <w:rPr>
          <w:i/>
        </w:rPr>
        <w:t>ex</w:t>
      </w:r>
      <w:r>
        <w:t xml:space="preserve"> art. 162</w:t>
      </w:r>
      <w:r w:rsidR="00A17ECC">
        <w:t>-</w:t>
      </w:r>
      <w:r>
        <w:rPr>
          <w:i/>
        </w:rPr>
        <w:t>bis</w:t>
      </w:r>
      <w:r>
        <w:t xml:space="preserve"> c.p. (ad es., l’assenza di permanenza del reato o di effetti permanenti rimovibili dall’imputato). </w:t>
      </w:r>
    </w:p>
  </w:footnote>
  <w:footnote w:id="7">
    <w:p w:rsidR="00B25D49" w:rsidRDefault="00B25D49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 xml:space="preserve">Qualora </w:t>
      </w:r>
      <w:r>
        <w:rPr>
          <w:color w:val="000000"/>
        </w:rPr>
        <w:t>siano state contestate più violazioni in continuazione, il limite massimo dell’ammenda al quale far riferimento per il calcolo della somma dovuta a titolo di oblazione speciale (pari alla metà di esso) corrisponde al triplo della pena pecuniaria massima prevista per il reato</w:t>
      </w:r>
      <w:r>
        <w:t xml:space="preserve"> (</w:t>
      </w:r>
      <w:proofErr w:type="spellStart"/>
      <w:proofErr w:type="gramStart"/>
      <w:r>
        <w:t>Cass</w:t>
      </w:r>
      <w:proofErr w:type="spellEnd"/>
      <w:r>
        <w:t>.,</w:t>
      </w:r>
      <w:proofErr w:type="gramEnd"/>
      <w:r>
        <w:t xml:space="preserve"> sez. IV, 2 dicembre 2005, </w:t>
      </w:r>
      <w:proofErr w:type="spellStart"/>
      <w:r>
        <w:t>p.g.</w:t>
      </w:r>
      <w:proofErr w:type="spellEnd"/>
      <w:r>
        <w:t xml:space="preserve"> in </w:t>
      </w:r>
      <w:proofErr w:type="spellStart"/>
      <w:r>
        <w:t>proc</w:t>
      </w:r>
      <w:proofErr w:type="spellEnd"/>
      <w:r>
        <w:t xml:space="preserve">. Polci, </w:t>
      </w:r>
      <w:r>
        <w:rPr>
          <w:i/>
        </w:rPr>
        <w:t xml:space="preserve">CED </w:t>
      </w:r>
      <w:proofErr w:type="spellStart"/>
      <w:proofErr w:type="gramStart"/>
      <w:r>
        <w:rPr>
          <w:i/>
        </w:rPr>
        <w:t>Cass</w:t>
      </w:r>
      <w:proofErr w:type="spellEnd"/>
      <w:r>
        <w:rPr>
          <w:i/>
        </w:rPr>
        <w:t>.</w:t>
      </w:r>
      <w:r>
        <w:t>,</w:t>
      </w:r>
      <w:proofErr w:type="gramEnd"/>
      <w:r>
        <w:t xml:space="preserve"> 232880).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361" w:rsidRPr="00CA2F41" w:rsidRDefault="00613361" w:rsidP="00613361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361" w:rsidRDefault="00613361" w:rsidP="00613361">
    <w:pPr>
      <w:pStyle w:val="Intestazione"/>
      <w:tabs>
        <w:tab w:val="clear" w:pos="4819"/>
        <w:tab w:val="center" w:pos="3261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896" w:rsidRDefault="00EB189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Times New Roman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ascii="Times New Roman" w:hAnsi="Times New Roman" w:cs="Times New Roman"/>
      </w:rPr>
    </w:lvl>
  </w:abstractNum>
  <w:abstractNum w:abstractNumId="17">
    <w:nsid w:val="47461B0A"/>
    <w:multiLevelType w:val="hybridMultilevel"/>
    <w:tmpl w:val="3E1662CC"/>
    <w:lvl w:ilvl="0" w:tplc="47725C24">
      <w:start w:val="1"/>
      <w:numFmt w:val="decimal"/>
      <w:lvlText w:val="%1)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37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57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77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597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17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37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57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77" w:hanging="180"/>
      </w:pPr>
      <w:rPr>
        <w:rFonts w:ascii="Times New Roman" w:hAnsi="Times New Roman" w:cs="Times New Roman"/>
      </w:rPr>
    </w:lvl>
  </w:abstractNum>
  <w:abstractNum w:abstractNumId="18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8"/>
      </w:rPr>
    </w:lvl>
  </w:abstractNum>
  <w:abstractNum w:abstractNumId="20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06D19D6"/>
    <w:multiLevelType w:val="hybridMultilevel"/>
    <w:tmpl w:val="37DC4AFE"/>
    <w:lvl w:ilvl="0" w:tplc="B4D255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3">
    <w:nsid w:val="50AD54B6"/>
    <w:multiLevelType w:val="hybridMultilevel"/>
    <w:tmpl w:val="FBBC2282"/>
    <w:lvl w:ilvl="0" w:tplc="0410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26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7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8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9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30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5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6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ascii="Times New Roman" w:hAnsi="Times New Roman" w:cs="Times New Roman"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39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3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4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5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6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7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0"/>
  </w:num>
  <w:num w:numId="3">
    <w:abstractNumId w:val="47"/>
  </w:num>
  <w:num w:numId="4">
    <w:abstractNumId w:val="35"/>
  </w:num>
  <w:num w:numId="5">
    <w:abstractNumId w:val="11"/>
  </w:num>
  <w:num w:numId="6">
    <w:abstractNumId w:val="41"/>
  </w:num>
  <w:num w:numId="7">
    <w:abstractNumId w:val="37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8"/>
  </w:num>
  <w:num w:numId="13">
    <w:abstractNumId w:val="20"/>
  </w:num>
  <w:num w:numId="14">
    <w:abstractNumId w:val="2"/>
  </w:num>
  <w:num w:numId="15">
    <w:abstractNumId w:val="44"/>
  </w:num>
  <w:num w:numId="16">
    <w:abstractNumId w:val="19"/>
  </w:num>
  <w:num w:numId="17">
    <w:abstractNumId w:val="27"/>
  </w:num>
  <w:num w:numId="18">
    <w:abstractNumId w:val="26"/>
  </w:num>
  <w:num w:numId="19">
    <w:abstractNumId w:val="0"/>
  </w:num>
  <w:num w:numId="20">
    <w:abstractNumId w:val="21"/>
  </w:num>
  <w:num w:numId="21">
    <w:abstractNumId w:val="14"/>
  </w:num>
  <w:num w:numId="22">
    <w:abstractNumId w:val="40"/>
  </w:num>
  <w:num w:numId="23">
    <w:abstractNumId w:val="13"/>
  </w:num>
  <w:num w:numId="24">
    <w:abstractNumId w:val="30"/>
  </w:num>
  <w:num w:numId="25">
    <w:abstractNumId w:val="31"/>
  </w:num>
  <w:num w:numId="26">
    <w:abstractNumId w:val="5"/>
  </w:num>
  <w:num w:numId="27">
    <w:abstractNumId w:val="36"/>
  </w:num>
  <w:num w:numId="28">
    <w:abstractNumId w:val="24"/>
  </w:num>
  <w:num w:numId="29">
    <w:abstractNumId w:val="42"/>
  </w:num>
  <w:num w:numId="30">
    <w:abstractNumId w:val="32"/>
  </w:num>
  <w:num w:numId="31">
    <w:abstractNumId w:val="43"/>
  </w:num>
  <w:num w:numId="32">
    <w:abstractNumId w:val="39"/>
  </w:num>
  <w:num w:numId="33">
    <w:abstractNumId w:val="9"/>
  </w:num>
  <w:num w:numId="34">
    <w:abstractNumId w:val="38"/>
  </w:num>
  <w:num w:numId="35">
    <w:abstractNumId w:val="29"/>
  </w:num>
  <w:num w:numId="36">
    <w:abstractNumId w:val="28"/>
  </w:num>
  <w:num w:numId="37">
    <w:abstractNumId w:val="33"/>
  </w:num>
  <w:num w:numId="38">
    <w:abstractNumId w:val="46"/>
  </w:num>
  <w:num w:numId="39">
    <w:abstractNumId w:val="8"/>
  </w:num>
  <w:num w:numId="40">
    <w:abstractNumId w:val="6"/>
  </w:num>
  <w:num w:numId="41">
    <w:abstractNumId w:val="25"/>
  </w:num>
  <w:num w:numId="42">
    <w:abstractNumId w:val="16"/>
  </w:num>
  <w:num w:numId="43">
    <w:abstractNumId w:val="45"/>
  </w:num>
  <w:num w:numId="44">
    <w:abstractNumId w:val="4"/>
  </w:num>
  <w:num w:numId="45">
    <w:abstractNumId w:val="34"/>
  </w:num>
  <w:num w:numId="46">
    <w:abstractNumId w:val="22"/>
  </w:num>
  <w:num w:numId="47">
    <w:abstractNumId w:val="17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9AF"/>
    <w:rsid w:val="00042818"/>
    <w:rsid w:val="000B5002"/>
    <w:rsid w:val="001C3530"/>
    <w:rsid w:val="00210329"/>
    <w:rsid w:val="00274EE2"/>
    <w:rsid w:val="00395AF7"/>
    <w:rsid w:val="003A2629"/>
    <w:rsid w:val="00452882"/>
    <w:rsid w:val="00490F09"/>
    <w:rsid w:val="00503591"/>
    <w:rsid w:val="00520992"/>
    <w:rsid w:val="0054668A"/>
    <w:rsid w:val="00587A8F"/>
    <w:rsid w:val="005A22C9"/>
    <w:rsid w:val="005C3393"/>
    <w:rsid w:val="00613361"/>
    <w:rsid w:val="006D04A3"/>
    <w:rsid w:val="00714E0C"/>
    <w:rsid w:val="00727C2D"/>
    <w:rsid w:val="007668DD"/>
    <w:rsid w:val="007A1154"/>
    <w:rsid w:val="007B763D"/>
    <w:rsid w:val="007C4C3E"/>
    <w:rsid w:val="007F2860"/>
    <w:rsid w:val="008756F9"/>
    <w:rsid w:val="008D5971"/>
    <w:rsid w:val="00945FCE"/>
    <w:rsid w:val="00A15CD1"/>
    <w:rsid w:val="00A17ECC"/>
    <w:rsid w:val="00A47E62"/>
    <w:rsid w:val="00B25D49"/>
    <w:rsid w:val="00BC5E0E"/>
    <w:rsid w:val="00BE3A0A"/>
    <w:rsid w:val="00C11B23"/>
    <w:rsid w:val="00C94126"/>
    <w:rsid w:val="00D03B29"/>
    <w:rsid w:val="00DC5965"/>
    <w:rsid w:val="00EB1896"/>
    <w:rsid w:val="00F409AF"/>
    <w:rsid w:val="00F64E0D"/>
    <w:rsid w:val="00F9608F"/>
    <w:rsid w:val="00FD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EF38830-1F3D-4FA9-8D78-4A636D78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pPr>
      <w:keepNext/>
      <w:spacing w:line="320" w:lineRule="atLeast"/>
      <w:jc w:val="both"/>
      <w:outlineLvl w:val="3"/>
    </w:pPr>
    <w:rPr>
      <w:rFonts w:ascii="Courier New" w:hAnsi="Courier New" w:cs="Courier New"/>
      <w:b/>
      <w:sz w:val="28"/>
    </w:rPr>
  </w:style>
  <w:style w:type="paragraph" w:styleId="Titolo5">
    <w:name w:val="heading 5"/>
    <w:basedOn w:val="Normale"/>
    <w:next w:val="Normale"/>
    <w:qFormat/>
    <w:pPr>
      <w:keepNext/>
      <w:spacing w:line="320" w:lineRule="atLeast"/>
      <w:jc w:val="both"/>
      <w:outlineLvl w:val="4"/>
    </w:pPr>
    <w:rPr>
      <w:rFonts w:ascii="Courier New" w:hAnsi="Courier New" w:cs="Courier New"/>
      <w:b/>
      <w:sz w:val="26"/>
    </w:rPr>
  </w:style>
  <w:style w:type="paragraph" w:styleId="Titolo6">
    <w:name w:val="heading 6"/>
    <w:basedOn w:val="Normale"/>
    <w:next w:val="Normale"/>
    <w:qFormat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qFormat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 w:cs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sz w:val="18"/>
      <w:lang w:val="it-IT" w:eastAsia="it-IT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 w:cs="Times"/>
      <w:b/>
      <w:caps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lang w:val="it-IT" w:eastAsia="it-IT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Articolo">
    <w:name w:val="Articolo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pPr>
      <w:spacing w:before="26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TitolodelCapo">
    <w:name w:val="Titolo del Capo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parte">
    <w:name w:val="Titolo parte"/>
    <w:basedOn w:val="Capoversoconnumero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semiHidden/>
    <w:pPr>
      <w:jc w:val="both"/>
    </w:pPr>
  </w:style>
  <w:style w:type="character" w:customStyle="1" w:styleId="SommarioCarattere">
    <w:name w:val="Sommario Carattere"/>
    <w:rPr>
      <w:rFonts w:ascii="Futura Bk BT" w:hAnsi="Futura Bk BT"/>
      <w:sz w:val="19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</w:rPr>
  </w:style>
  <w:style w:type="paragraph" w:customStyle="1" w:styleId="DicituraParte0">
    <w:name w:val="Dicitura Parte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pPr>
      <w:ind w:firstLine="0"/>
    </w:pPr>
  </w:style>
  <w:style w:type="paragraph" w:customStyle="1" w:styleId="Articolispazioprima">
    <w:name w:val="Articoli spazio prima"/>
    <w:basedOn w:val="Articoli"/>
    <w:pPr>
      <w:spacing w:before="90"/>
    </w:pPr>
  </w:style>
  <w:style w:type="paragraph" w:customStyle="1" w:styleId="DicituraAtto">
    <w:name w:val="Dicitura Atto"/>
    <w:basedOn w:val="Normale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pPr>
      <w:spacing w:before="0"/>
    </w:pPr>
  </w:style>
  <w:style w:type="character" w:customStyle="1" w:styleId="Heading3Char">
    <w:name w:val="Heading 3 Char"/>
    <w:rPr>
      <w:i/>
    </w:rPr>
  </w:style>
  <w:style w:type="paragraph" w:customStyle="1" w:styleId="Capoversoarticoli">
    <w:name w:val="Capoverso articoli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paragraph" w:customStyle="1" w:styleId="Note">
    <w:name w:val="Note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FootnoteTextChar">
    <w:name w:val="Footnote Text Char"/>
  </w:style>
  <w:style w:type="paragraph" w:customStyle="1" w:styleId="Dicituratitolo0">
    <w:name w:val="Dicitura titolo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rPr>
      <w:rFonts w:ascii="Calibri" w:eastAsia="Times New Roman" w:hAnsi="Calibri"/>
      <w:lang w:val="it-IT" w:eastAsia="en-US"/>
    </w:rPr>
  </w:style>
  <w:style w:type="paragraph" w:styleId="Rientrocorpodeltesto">
    <w:name w:val="Body Text Indent"/>
    <w:basedOn w:val="Normale"/>
    <w:semiHidden/>
    <w:rPr>
      <w:sz w:val="24"/>
    </w:rPr>
  </w:style>
  <w:style w:type="character" w:customStyle="1" w:styleId="BodyText2Char">
    <w:name w:val="Body Text 2 Char"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character" w:customStyle="1" w:styleId="BodyText3Char">
    <w:name w:val="Body Text 3 Char"/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Rientrocorpodeltesto1">
    <w:name w:val="Rientro corpo del testo1"/>
    <w:basedOn w:val="Normal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BodyTextIndentChar">
    <w:name w:val="Body Text Indent Char"/>
    <w:rPr>
      <w:rFonts w:ascii="New York" w:hAnsi="New York"/>
      <w:sz w:val="24"/>
    </w:rPr>
  </w:style>
  <w:style w:type="paragraph" w:customStyle="1" w:styleId="tx">
    <w:name w:val="tx"/>
    <w:basedOn w:val="Normale"/>
    <w:pPr>
      <w:spacing w:before="20" w:after="20"/>
    </w:pPr>
  </w:style>
  <w:style w:type="character" w:customStyle="1" w:styleId="risultato">
    <w:name w:val="risultato"/>
  </w:style>
  <w:style w:type="paragraph" w:customStyle="1" w:styleId="Nessunaspaziatura1">
    <w:name w:val="Nessuna spaziatura1"/>
    <w:basedOn w:val="Normale"/>
    <w:rPr>
      <w:sz w:val="24"/>
      <w:szCs w:val="24"/>
    </w:rPr>
  </w:style>
  <w:style w:type="character" w:customStyle="1" w:styleId="Heading4Char">
    <w:name w:val="Heading 4 Char"/>
    <w:rPr>
      <w:rFonts w:ascii="Courier New" w:hAnsi="Courier New" w:cs="Courier New"/>
      <w:b/>
      <w:sz w:val="28"/>
    </w:rPr>
  </w:style>
  <w:style w:type="character" w:customStyle="1" w:styleId="Heading5Char">
    <w:name w:val="Heading 5 Char"/>
    <w:rPr>
      <w:rFonts w:ascii="Courier New" w:hAnsi="Courier New" w:cs="Courier New"/>
      <w:b/>
      <w:sz w:val="26"/>
    </w:rPr>
  </w:style>
  <w:style w:type="character" w:customStyle="1" w:styleId="Heading6Char">
    <w:name w:val="Heading 6 Char"/>
    <w:rPr>
      <w:snapToGrid w:val="0"/>
      <w:sz w:val="24"/>
    </w:rPr>
  </w:style>
  <w:style w:type="character" w:customStyle="1" w:styleId="Heading7Char">
    <w:name w:val="Heading 7 Char"/>
    <w:rPr>
      <w:snapToGrid w:val="0"/>
      <w:sz w:val="24"/>
    </w:rPr>
  </w:style>
  <w:style w:type="character" w:customStyle="1" w:styleId="Heading8Char">
    <w:name w:val="Heading 8 Char"/>
    <w:rPr>
      <w:i/>
      <w:snapToGrid w:val="0"/>
      <w:sz w:val="24"/>
    </w:rPr>
  </w:style>
  <w:style w:type="character" w:customStyle="1" w:styleId="Heading9Char">
    <w:name w:val="Heading 9 Char"/>
    <w:rPr>
      <w:i/>
      <w:snapToGrid w:val="0"/>
      <w:sz w:val="24"/>
    </w:rPr>
  </w:style>
  <w:style w:type="character" w:customStyle="1" w:styleId="Heading1Char">
    <w:name w:val="Heading 1 Char"/>
    <w:rPr>
      <w:sz w:val="24"/>
    </w:rPr>
  </w:style>
  <w:style w:type="character" w:customStyle="1" w:styleId="Heading2Char">
    <w:name w:val="Heading 2 Char"/>
    <w:rPr>
      <w:sz w:val="24"/>
    </w:rPr>
  </w:style>
  <w:style w:type="character" w:customStyle="1" w:styleId="TitoloAttoCarattere">
    <w:name w:val="Titolo Atto Carattere"/>
    <w:rPr>
      <w:rFonts w:ascii="Arial" w:hAnsi="Arial" w:cs="Arial"/>
      <w:b/>
      <w:sz w:val="22"/>
    </w:rPr>
  </w:style>
  <w:style w:type="character" w:customStyle="1" w:styleId="EndnoteTextChar">
    <w:name w:val="Endnote Text Char"/>
    <w:rPr>
      <w:rFonts w:ascii="Calibri" w:eastAsia="Times New Roman" w:hAnsi="Calibri"/>
      <w:lang w:val="x-none" w:eastAsia="en-US"/>
    </w:rPr>
  </w:style>
  <w:style w:type="paragraph" w:styleId="Testonotadichiusura">
    <w:name w:val="endnote text"/>
    <w:basedOn w:val="Normale"/>
    <w:semiHidden/>
    <w:rPr>
      <w:rFonts w:ascii="Calibri" w:hAnsi="Calibri"/>
      <w:lang w:eastAsia="en-US"/>
    </w:rPr>
  </w:style>
  <w:style w:type="character" w:customStyle="1" w:styleId="TestonotadichiusuraCarattere1">
    <w:name w:val="Testo nota di chiusura Carattere1"/>
    <w:rPr>
      <w:rFonts w:ascii="Times New Roman" w:hAnsi="Times New Roman" w:cs="Times New Roman"/>
    </w:rPr>
  </w:style>
  <w:style w:type="paragraph" w:customStyle="1" w:styleId="NoSpacing1">
    <w:name w:val="No Spacing1"/>
    <w:basedOn w:val="Normale"/>
    <w:rPr>
      <w:sz w:val="24"/>
      <w:szCs w:val="24"/>
    </w:r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rPr>
      <w:b/>
      <w:sz w:val="24"/>
    </w:rPr>
  </w:style>
  <w:style w:type="paragraph" w:customStyle="1" w:styleId="cpv">
    <w:name w:val="cpv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semiHidden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semiHidden/>
    <w:pPr>
      <w:ind w:left="705"/>
      <w:jc w:val="both"/>
    </w:pPr>
    <w:rPr>
      <w:lang w:eastAsia="zh-CN"/>
    </w:rPr>
  </w:style>
  <w:style w:type="character" w:customStyle="1" w:styleId="BodyTextIndent2Char">
    <w:name w:val="Body Text Indent 2 Char"/>
    <w:rPr>
      <w:lang w:val="x-none" w:eastAsia="zh-CN"/>
    </w:rPr>
  </w:style>
  <w:style w:type="paragraph" w:styleId="Rientrocorpodeltesto3">
    <w:name w:val="Body Text Indent 3"/>
    <w:basedOn w:val="Normale"/>
    <w:semiHidden/>
    <w:pPr>
      <w:ind w:left="705"/>
    </w:pPr>
    <w:rPr>
      <w:lang w:eastAsia="zh-CN"/>
    </w:rPr>
  </w:style>
  <w:style w:type="character" w:customStyle="1" w:styleId="BodyTextIndent3Char">
    <w:name w:val="Body Text Indent 3 Char"/>
    <w:rPr>
      <w:lang w:val="x-none" w:eastAsia="zh-CN"/>
    </w:rPr>
  </w:style>
  <w:style w:type="character" w:customStyle="1" w:styleId="Macchinadascrivere">
    <w:name w:val="Macchina da scrivere"/>
    <w:rPr>
      <w:rFonts w:ascii="Courier New" w:hAnsi="Courier New" w:cs="Courier New"/>
      <w:sz w:val="20"/>
    </w:rPr>
  </w:style>
  <w:style w:type="paragraph" w:customStyle="1" w:styleId="LEGGE">
    <w:name w:val="LEGGE"/>
    <w:pPr>
      <w:spacing w:line="230" w:lineRule="exact"/>
      <w:jc w:val="both"/>
    </w:pPr>
    <w:rPr>
      <w:b/>
    </w:rPr>
  </w:style>
  <w:style w:type="paragraph" w:customStyle="1" w:styleId="nota">
    <w:name w:val="nota"/>
    <w:pPr>
      <w:tabs>
        <w:tab w:val="left" w:pos="256"/>
        <w:tab w:val="left" w:pos="1674"/>
        <w:tab w:val="left" w:pos="3091"/>
        <w:tab w:val="left" w:pos="4508"/>
      </w:tabs>
      <w:autoSpaceDE w:val="0"/>
      <w:autoSpaceDN w:val="0"/>
      <w:spacing w:before="254"/>
      <w:ind w:left="255" w:right="1418"/>
      <w:jc w:val="both"/>
    </w:pPr>
    <w:rPr>
      <w:rFonts w:ascii="Helvetica" w:hAnsi="Helvetica" w:cs="Helvetica"/>
      <w:sz w:val="16"/>
      <w:szCs w:val="16"/>
    </w:rPr>
  </w:style>
  <w:style w:type="paragraph" w:customStyle="1" w:styleId="sommario0">
    <w:name w:val="sommario"/>
    <w:pPr>
      <w:tabs>
        <w:tab w:val="left" w:pos="0"/>
        <w:tab w:val="left" w:pos="1418"/>
        <w:tab w:val="left" w:pos="2835"/>
        <w:tab w:val="left" w:pos="4252"/>
      </w:tabs>
      <w:autoSpaceDE w:val="0"/>
      <w:autoSpaceDN w:val="0"/>
      <w:spacing w:before="160"/>
      <w:ind w:right="1701"/>
      <w:jc w:val="both"/>
    </w:pPr>
    <w:rPr>
      <w:sz w:val="17"/>
      <w:szCs w:val="17"/>
    </w:rPr>
  </w:style>
  <w:style w:type="paragraph" w:customStyle="1" w:styleId="Centrato">
    <w:name w:val="Centrato"/>
    <w:basedOn w:val="Normale"/>
    <w:pPr>
      <w:autoSpaceDE w:val="0"/>
      <w:autoSpaceDN w:val="0"/>
      <w:adjustRightInd w:val="0"/>
      <w:jc w:val="center"/>
    </w:pPr>
  </w:style>
  <w:style w:type="paragraph" w:customStyle="1" w:styleId="FineTabella">
    <w:name w:val="Fine Tabella"/>
    <w:basedOn w:val="Normale"/>
    <w:pPr>
      <w:autoSpaceDE w:val="0"/>
      <w:autoSpaceDN w:val="0"/>
      <w:adjustRightInd w:val="0"/>
      <w:ind w:firstLine="227"/>
      <w:jc w:val="both"/>
    </w:pPr>
    <w:rPr>
      <w:color w:val="800080"/>
    </w:rPr>
  </w:style>
  <w:style w:type="paragraph" w:customStyle="1" w:styleId="InizioTabella">
    <w:name w:val="Inizio Tabella"/>
    <w:basedOn w:val="Normale"/>
    <w:pPr>
      <w:autoSpaceDE w:val="0"/>
      <w:autoSpaceDN w:val="0"/>
      <w:adjustRightInd w:val="0"/>
      <w:ind w:firstLine="227"/>
      <w:jc w:val="both"/>
    </w:pPr>
    <w:rPr>
      <w:color w:val="FFFF00"/>
    </w:rPr>
  </w:style>
  <w:style w:type="paragraph" w:customStyle="1" w:styleId="Testo0">
    <w:name w:val="Testo"/>
    <w:basedOn w:val="Normale"/>
    <w:pPr>
      <w:autoSpaceDE w:val="0"/>
      <w:autoSpaceDN w:val="0"/>
      <w:adjustRightInd w:val="0"/>
      <w:ind w:firstLine="227"/>
      <w:jc w:val="both"/>
    </w:pPr>
  </w:style>
  <w:style w:type="paragraph" w:customStyle="1" w:styleId="liscio">
    <w:name w:val="liscio"/>
    <w:basedOn w:val="Normale"/>
    <w:pPr>
      <w:spacing w:before="100" w:beforeAutospacing="1" w:after="100" w:afterAutospacing="1"/>
    </w:pPr>
    <w:rPr>
      <w:sz w:val="24"/>
      <w:szCs w:val="24"/>
    </w:rPr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styleId="Enfasigrassetto">
    <w:name w:val="Strong"/>
    <w:qFormat/>
    <w:rPr>
      <w:b/>
    </w:rPr>
  </w:style>
  <w:style w:type="character" w:customStyle="1" w:styleId="apple-converted-space">
    <w:name w:val="apple-converted-space"/>
    <w:basedOn w:val="Carpredefinitoparagraf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115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A1154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15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33</cp:revision>
  <cp:lastPrinted>2016-03-22T10:13:00Z</cp:lastPrinted>
  <dcterms:created xsi:type="dcterms:W3CDTF">2015-10-22T10:12:00Z</dcterms:created>
  <dcterms:modified xsi:type="dcterms:W3CDTF">2016-06-01T15:18:00Z</dcterms:modified>
</cp:coreProperties>
</file>