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3E" w:rsidRPr="00A17ECC" w:rsidRDefault="007C4C3E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C4C3E" w:rsidRPr="00A17EC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 w:rsidP="0054668A">
            <w:pPr>
              <w:pStyle w:val="DicituraAtto"/>
            </w:pPr>
            <w:r w:rsidRPr="00A17ECC">
              <w:t>4</w:t>
            </w:r>
            <w:r w:rsidR="00D03B29" w:rsidRPr="00A17ECC">
              <w:t>6</w:t>
            </w:r>
            <w:r w:rsidR="0054668A" w:rsidRPr="00A17ECC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4C3E" w:rsidRPr="00A17EC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 w:rsidP="005C3393">
            <w:pPr>
              <w:pStyle w:val="TitoloAtto"/>
            </w:pPr>
            <w:r w:rsidRPr="00A17ECC">
              <w:t>Ricorso contro il decreto di rigetto della richiesta di fissazione di nuova udienza</w:t>
            </w:r>
          </w:p>
        </w:tc>
      </w:tr>
    </w:tbl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  <w:rPr>
          <w:rStyle w:val="Rimandonotaapidipagina"/>
          <w:vertAlign w:val="baseline"/>
        </w:rPr>
      </w:pPr>
    </w:p>
    <w:p w:rsidR="007C4C3E" w:rsidRPr="00A17ECC" w:rsidRDefault="00587A8F">
      <w:pPr>
        <w:pStyle w:val="CapoversoAtti"/>
        <w:jc w:val="center"/>
      </w:pPr>
      <w:r w:rsidRPr="00A17ECC">
        <w:t>Tribunale</w:t>
      </w:r>
      <w:r w:rsidR="00395AF7" w:rsidRPr="00A17ECC">
        <w:t xml:space="preserve"> monocratico di ... ... ...</w:t>
      </w: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rPr>
          <w:spacing w:val="-4"/>
        </w:rPr>
        <w:t>Il sottoscritto … … … (nome e cognome del ricorrente), difeso dall</w:t>
      </w:r>
      <w:r w:rsidR="00490F09" w:rsidRPr="00A17ECC">
        <w:rPr>
          <w:spacing w:val="-4"/>
        </w:rPr>
        <w:t>’</w:t>
      </w:r>
      <w:r w:rsidRPr="00A17ECC">
        <w:rPr>
          <w:spacing w:val="-4"/>
        </w:rPr>
        <w:t>Avv. … … …</w:t>
      </w:r>
      <w:r w:rsidRPr="00A17ECC">
        <w:t xml:space="preserve"> (nome e cognome), in virtù di nomina apposta in calce al ricorso</w:t>
      </w:r>
      <w:r w:rsidRPr="00A17ECC">
        <w:rPr>
          <w:i/>
        </w:rPr>
        <w:t xml:space="preserve"> ex</w:t>
      </w:r>
      <w:r w:rsidRPr="00A17ECC">
        <w:t xml:space="preserve"> art. 21 d.lgs. n. 274 del 2000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1"/>
      </w:r>
      <w:r w:rsidRPr="00A17ECC">
        <w:t>, parte offesa nel procedimento penale n. … ... ...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premesso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– che in data …/…/… si celebrava, innanzi al Giudice di pace di … … …, la prima udienza di comparizione, fissata a seguito di ricorso immediato presentato dal sottoscritto ricorrente, nei confronti di … … … (nome e cognome, data di nascita, residenza o domicilio dell</w:t>
      </w:r>
      <w:r w:rsidR="00490F09" w:rsidRPr="00A17ECC">
        <w:t>’</w:t>
      </w:r>
      <w:r w:rsidRPr="00A17ECC">
        <w:t>imputato), in ordine al reato di cui all</w:t>
      </w:r>
      <w:r w:rsidR="00490F09" w:rsidRPr="00A17ECC">
        <w:t>’</w:t>
      </w:r>
      <w:r w:rsidRPr="00A17ECC">
        <w:t>art. … ... ...;</w:t>
      </w:r>
    </w:p>
    <w:p w:rsidR="007C4C3E" w:rsidRPr="00A17ECC" w:rsidRDefault="00395AF7">
      <w:pPr>
        <w:pStyle w:val="CapoversoAtti"/>
      </w:pPr>
      <w:r w:rsidRPr="00A17ECC">
        <w:t>– che in detta udienza il sottoscritto non si presentava per caso fortuito (oppure: “per forza maggiore”), costituito dal fatto che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2"/>
      </w:r>
      <w:r w:rsidRPr="00A17ECC">
        <w:t>;</w:t>
      </w:r>
    </w:p>
    <w:p w:rsidR="007C4C3E" w:rsidRPr="00A17ECC" w:rsidRDefault="00395AF7">
      <w:pPr>
        <w:pStyle w:val="CapoversoAtti"/>
      </w:pPr>
      <w:r w:rsidRPr="00A17ECC">
        <w:t xml:space="preserve">– che il Giudice di pace, non essendo </w:t>
      </w:r>
      <w:r w:rsidR="00587A8F" w:rsidRPr="00A17ECC">
        <w:t>stato</w:t>
      </w:r>
      <w:r w:rsidRPr="00A17ECC">
        <w:t xml:space="preserve"> in grado il sottoscritto di rappresentare ed eccepire tempestivamente la circostanza impeditiva sopra indicata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3"/>
      </w:r>
      <w:r w:rsidRPr="00A17ECC">
        <w:t>, dichiarava l</w:t>
      </w:r>
      <w:r w:rsidR="00490F09" w:rsidRPr="00A17ECC">
        <w:t>’</w:t>
      </w:r>
      <w:r w:rsidRPr="00A17ECC">
        <w:t>improcedibilità del ricorso, ai sensi dell</w:t>
      </w:r>
      <w:r w:rsidR="00490F09" w:rsidRPr="00A17ECC">
        <w:t>’</w:t>
      </w:r>
      <w:r w:rsidRPr="00A17ECC">
        <w:t>art. 30 d.lgs. n. 274 del 2000;</w:t>
      </w:r>
    </w:p>
    <w:p w:rsidR="007C4C3E" w:rsidRPr="00A17ECC" w:rsidRDefault="00395AF7">
      <w:pPr>
        <w:pStyle w:val="CapoversoAtti"/>
      </w:pPr>
      <w:r w:rsidRPr="00A17ECC">
        <w:t>– che, a seguito di tale ordinanza, l</w:t>
      </w:r>
      <w:r w:rsidR="00490F09" w:rsidRPr="00A17ECC">
        <w:t>’</w:t>
      </w:r>
      <w:r w:rsidRPr="00A17ECC">
        <w:t>istante, cessata la causa impeditiva, proponeva ai sensi dell</w:t>
      </w:r>
      <w:r w:rsidR="00490F09" w:rsidRPr="00A17ECC">
        <w:t>’</w:t>
      </w:r>
      <w:r w:rsidRPr="00A17ECC">
        <w:t>art. 31, comma 1, d.lgs. n. 274 del 2000, tempestiva istanza di fissazione di nuova udienza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4"/>
      </w:r>
      <w:r w:rsidRPr="00A17ECC">
        <w:t xml:space="preserve"> che veniva tuttavia respinta con decreto del .../…/…;</w:t>
      </w:r>
    </w:p>
    <w:p w:rsidR="007C4C3E" w:rsidRPr="00A17ECC" w:rsidRDefault="00395AF7">
      <w:pPr>
        <w:pStyle w:val="CapoversoAtti"/>
      </w:pPr>
      <w:r w:rsidRPr="00A17ECC">
        <w:t>– che tale decisione è ingiusta ed erronea in quanto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5"/>
      </w:r>
      <w:r w:rsidRPr="00A17ECC">
        <w:t>;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  <w:rPr>
          <w:i/>
        </w:rPr>
      </w:pPr>
      <w:r w:rsidRPr="00A17ECC">
        <w:rPr>
          <w:i/>
        </w:rPr>
        <w:t>chiede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la riforma dell</w:t>
      </w:r>
      <w:r w:rsidR="00490F09" w:rsidRPr="00A17ECC">
        <w:t>’</w:t>
      </w:r>
      <w:r w:rsidRPr="00A17ECC">
        <w:t>impugnato decreto e la trasmissione degli atti al Giudice di pace per la fissazione di nuova udienza di comparizione.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lastRenderedPageBreak/>
        <w:t>Allega:</w:t>
      </w:r>
    </w:p>
    <w:p w:rsidR="007C4C3E" w:rsidRPr="00A17ECC" w:rsidRDefault="00395AF7">
      <w:pPr>
        <w:pStyle w:val="CapoversoAtti"/>
      </w:pPr>
      <w:r w:rsidRPr="00A17ECC">
        <w:t>1) copia dell</w:t>
      </w:r>
      <w:r w:rsidR="00490F09" w:rsidRPr="00A17ECC">
        <w:t>’</w:t>
      </w:r>
      <w:r w:rsidRPr="00A17ECC">
        <w:t>ordinanza di improcedibilità, notificata al ricorrente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6"/>
      </w:r>
      <w:r w:rsidRPr="00A17ECC">
        <w:t xml:space="preserve"> in data …/…/…;</w:t>
      </w:r>
    </w:p>
    <w:p w:rsidR="007C4C3E" w:rsidRPr="00A17ECC" w:rsidRDefault="00395AF7">
      <w:pPr>
        <w:pStyle w:val="CapoversoAtti"/>
      </w:pPr>
      <w:r w:rsidRPr="00A17ECC">
        <w:t>2) copia dell</w:t>
      </w:r>
      <w:r w:rsidR="00490F09" w:rsidRPr="00A17ECC">
        <w:t>’</w:t>
      </w:r>
      <w:r w:rsidRPr="00A17ECC">
        <w:t xml:space="preserve">istanza </w:t>
      </w:r>
      <w:r w:rsidRPr="00A17ECC">
        <w:rPr>
          <w:i/>
        </w:rPr>
        <w:t>ex</w:t>
      </w:r>
      <w:r w:rsidRPr="00A17ECC">
        <w:t xml:space="preserve"> art. 31, comma 1, d.lgs. n. 274 del 2000, con allegata documentazione;</w:t>
      </w:r>
    </w:p>
    <w:p w:rsidR="007C4C3E" w:rsidRPr="00A17ECC" w:rsidRDefault="00395AF7">
      <w:pPr>
        <w:pStyle w:val="CapoversoAtti"/>
      </w:pPr>
      <w:r w:rsidRPr="00A17ECC">
        <w:t>3) copia del decreto di rigetto del …/…/…, notificato al ricorrente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7"/>
      </w:r>
      <w:r w:rsidRPr="00A17ECC">
        <w:t xml:space="preserve"> in data …/…/…;</w:t>
      </w:r>
    </w:p>
    <w:p w:rsidR="007C4C3E" w:rsidRPr="00A17ECC" w:rsidRDefault="00395AF7">
      <w:pPr>
        <w:pStyle w:val="CapoversoAtti"/>
      </w:pPr>
      <w:r w:rsidRPr="00A17ECC">
        <w:t>4) … … …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8"/>
      </w:r>
      <w:r w:rsidRPr="00A17ECC">
        <w:t>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Luogo e data</w:t>
      </w:r>
    </w:p>
    <w:p w:rsidR="007C4C3E" w:rsidRPr="00A17ECC" w:rsidRDefault="00395AF7">
      <w:pPr>
        <w:pStyle w:val="CapoversoAtti"/>
        <w:jc w:val="right"/>
      </w:pPr>
      <w:r w:rsidRPr="00A17ECC">
        <w:t>Sottoscrizione del ricorrente e del difensore</w:t>
      </w:r>
      <w:r w:rsidRPr="00A17ECC">
        <w:rPr>
          <w:snapToGrid w:val="0"/>
          <w:color w:val="000000"/>
          <w:u w:color="000000"/>
        </w:rPr>
        <w:t> </w:t>
      </w:r>
      <w:r w:rsidRPr="00A17ECC">
        <w:rPr>
          <w:rStyle w:val="Rimandonotaapidipagina"/>
          <w:snapToGrid w:val="0"/>
          <w:color w:val="000000"/>
          <w:u w:color="000000"/>
        </w:rPr>
        <w:footnoteReference w:id="9"/>
      </w:r>
      <w:bookmarkStart w:id="0" w:name="_GoBack"/>
      <w:bookmarkEnd w:id="0"/>
    </w:p>
    <w:sectPr w:rsidR="007C4C3E" w:rsidRPr="00A17ECC" w:rsidSect="007B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29" w:rsidRDefault="00210329">
      <w:r>
        <w:separator/>
      </w:r>
    </w:p>
    <w:p w:rsidR="00210329" w:rsidRDefault="00210329"/>
    <w:p w:rsidR="00210329" w:rsidRDefault="00210329"/>
    <w:p w:rsidR="00210329" w:rsidRDefault="00210329"/>
  </w:endnote>
  <w:endnote w:type="continuationSeparator" w:id="0">
    <w:p w:rsidR="00210329" w:rsidRDefault="00210329">
      <w:r>
        <w:continuationSeparator/>
      </w:r>
    </w:p>
    <w:p w:rsidR="00210329" w:rsidRDefault="00210329"/>
    <w:p w:rsidR="00210329" w:rsidRDefault="00210329"/>
    <w:p w:rsidR="00210329" w:rsidRDefault="0021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id="1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Oppure, contenuta in separato atto.</w:t>
      </w:r>
    </w:p>
  </w:footnote>
  <w:footnote w:id="2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V. nt. 22.</w:t>
      </w:r>
    </w:p>
  </w:footnote>
  <w:footnote w:id="3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Quella in esame si tratta, evidentemente, di ipotesi diversa da quella in cui è stata proposta preventiva istanza di rinvio per impossibilità a comparire del ricorrente (o del procuratore speciale). </w:t>
      </w:r>
    </w:p>
  </w:footnote>
  <w:footnote w:id="4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V. precedente atto.</w:t>
      </w:r>
    </w:p>
  </w:footnote>
  <w:footnote w:id="5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le ragioni, in fatto ed in diritto, su cui si fonda il ricorso.</w:t>
      </w:r>
    </w:p>
  </w:footnote>
  <w:footnote w:id="6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Ai sensi dell’art. 17, comma 1, </w:t>
      </w:r>
      <w:proofErr w:type="spellStart"/>
      <w:r>
        <w:t>d.m.</w:t>
      </w:r>
      <w:proofErr w:type="spellEnd"/>
      <w:r>
        <w:t xml:space="preserve"> 6 aprile 2001, n. 204.</w:t>
      </w:r>
    </w:p>
  </w:footnote>
  <w:footnote w:id="7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Ai sensi dell’art. 17, comma 2, </w:t>
      </w:r>
      <w:proofErr w:type="spellStart"/>
      <w:r>
        <w:t>d.m.</w:t>
      </w:r>
      <w:proofErr w:type="spellEnd"/>
      <w:r>
        <w:t xml:space="preserve"> 6 aprile 2001, n. 204.</w:t>
      </w:r>
    </w:p>
  </w:footnote>
  <w:footnote w:id="8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Elencare l’ulteriore documentazione che, eventualmente, si intende allegare.</w:t>
      </w:r>
    </w:p>
  </w:footnote>
  <w:footnote w:id="9">
    <w:p w:rsidR="00B25D49" w:rsidRDefault="00B25D49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V. nt. 16.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Pr="00CA2F41" w:rsidRDefault="00613361" w:rsidP="00613361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Default="00613361" w:rsidP="00613361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461B0A"/>
    <w:multiLevelType w:val="hybridMultilevel"/>
    <w:tmpl w:val="3E1662CC"/>
    <w:lvl w:ilvl="0" w:tplc="47725C24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06D19D6"/>
    <w:multiLevelType w:val="hybridMultilevel"/>
    <w:tmpl w:val="37DC4AFE"/>
    <w:lvl w:ilvl="0" w:tplc="B4D25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0AD54B6"/>
    <w:multiLevelType w:val="hybridMultilevel"/>
    <w:tmpl w:val="FBBC2282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9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30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9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6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7"/>
  </w:num>
  <w:num w:numId="4">
    <w:abstractNumId w:val="35"/>
  </w:num>
  <w:num w:numId="5">
    <w:abstractNumId w:val="11"/>
  </w:num>
  <w:num w:numId="6">
    <w:abstractNumId w:val="41"/>
  </w:num>
  <w:num w:numId="7">
    <w:abstractNumId w:val="37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4"/>
  </w:num>
  <w:num w:numId="16">
    <w:abstractNumId w:val="19"/>
  </w:num>
  <w:num w:numId="17">
    <w:abstractNumId w:val="27"/>
  </w:num>
  <w:num w:numId="18">
    <w:abstractNumId w:val="26"/>
  </w:num>
  <w:num w:numId="19">
    <w:abstractNumId w:val="0"/>
  </w:num>
  <w:num w:numId="20">
    <w:abstractNumId w:val="21"/>
  </w:num>
  <w:num w:numId="21">
    <w:abstractNumId w:val="14"/>
  </w:num>
  <w:num w:numId="22">
    <w:abstractNumId w:val="40"/>
  </w:num>
  <w:num w:numId="23">
    <w:abstractNumId w:val="13"/>
  </w:num>
  <w:num w:numId="24">
    <w:abstractNumId w:val="30"/>
  </w:num>
  <w:num w:numId="25">
    <w:abstractNumId w:val="31"/>
  </w:num>
  <w:num w:numId="26">
    <w:abstractNumId w:val="5"/>
  </w:num>
  <w:num w:numId="27">
    <w:abstractNumId w:val="36"/>
  </w:num>
  <w:num w:numId="28">
    <w:abstractNumId w:val="24"/>
  </w:num>
  <w:num w:numId="29">
    <w:abstractNumId w:val="42"/>
  </w:num>
  <w:num w:numId="30">
    <w:abstractNumId w:val="32"/>
  </w:num>
  <w:num w:numId="31">
    <w:abstractNumId w:val="43"/>
  </w:num>
  <w:num w:numId="32">
    <w:abstractNumId w:val="39"/>
  </w:num>
  <w:num w:numId="33">
    <w:abstractNumId w:val="9"/>
  </w:num>
  <w:num w:numId="34">
    <w:abstractNumId w:val="38"/>
  </w:num>
  <w:num w:numId="35">
    <w:abstractNumId w:val="29"/>
  </w:num>
  <w:num w:numId="36">
    <w:abstractNumId w:val="28"/>
  </w:num>
  <w:num w:numId="37">
    <w:abstractNumId w:val="33"/>
  </w:num>
  <w:num w:numId="38">
    <w:abstractNumId w:val="46"/>
  </w:num>
  <w:num w:numId="39">
    <w:abstractNumId w:val="8"/>
  </w:num>
  <w:num w:numId="40">
    <w:abstractNumId w:val="6"/>
  </w:num>
  <w:num w:numId="41">
    <w:abstractNumId w:val="25"/>
  </w:num>
  <w:num w:numId="42">
    <w:abstractNumId w:val="16"/>
  </w:num>
  <w:num w:numId="43">
    <w:abstractNumId w:val="45"/>
  </w:num>
  <w:num w:numId="44">
    <w:abstractNumId w:val="4"/>
  </w:num>
  <w:num w:numId="45">
    <w:abstractNumId w:val="34"/>
  </w:num>
  <w:num w:numId="46">
    <w:abstractNumId w:val="22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9AF"/>
    <w:rsid w:val="00042818"/>
    <w:rsid w:val="000B5002"/>
    <w:rsid w:val="001C3530"/>
    <w:rsid w:val="00210329"/>
    <w:rsid w:val="00274EE2"/>
    <w:rsid w:val="00395AF7"/>
    <w:rsid w:val="003A2629"/>
    <w:rsid w:val="00452882"/>
    <w:rsid w:val="00490F09"/>
    <w:rsid w:val="00503591"/>
    <w:rsid w:val="00520992"/>
    <w:rsid w:val="0054668A"/>
    <w:rsid w:val="00587A8F"/>
    <w:rsid w:val="005A22C9"/>
    <w:rsid w:val="005C3393"/>
    <w:rsid w:val="00613361"/>
    <w:rsid w:val="006D04A3"/>
    <w:rsid w:val="00727C2D"/>
    <w:rsid w:val="007668DD"/>
    <w:rsid w:val="007A1154"/>
    <w:rsid w:val="007B763D"/>
    <w:rsid w:val="007C4C3E"/>
    <w:rsid w:val="007F2860"/>
    <w:rsid w:val="008756F9"/>
    <w:rsid w:val="008D5971"/>
    <w:rsid w:val="00945FCE"/>
    <w:rsid w:val="00A15CD1"/>
    <w:rsid w:val="00A17ECC"/>
    <w:rsid w:val="00A47E62"/>
    <w:rsid w:val="00B25D49"/>
    <w:rsid w:val="00BC5E0E"/>
    <w:rsid w:val="00BE3A0A"/>
    <w:rsid w:val="00C11B23"/>
    <w:rsid w:val="00C63386"/>
    <w:rsid w:val="00C94126"/>
    <w:rsid w:val="00D03B29"/>
    <w:rsid w:val="00DC5965"/>
    <w:rsid w:val="00EB1896"/>
    <w:rsid w:val="00F409AF"/>
    <w:rsid w:val="00F64E0D"/>
    <w:rsid w:val="00F9608F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F38830-1F3D-4FA9-8D78-4A636D7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customStyle="1" w:styleId="Centrato">
    <w:name w:val="Centrato"/>
    <w:basedOn w:val="Normale"/>
    <w:pPr>
      <w:autoSpaceDE w:val="0"/>
      <w:autoSpaceDN w:val="0"/>
      <w:adjustRightInd w:val="0"/>
      <w:jc w:val="center"/>
    </w:pPr>
  </w:style>
  <w:style w:type="paragraph" w:customStyle="1" w:styleId="FineTabella">
    <w:name w:val="Fine Tabella"/>
    <w:basedOn w:val="Normale"/>
    <w:pPr>
      <w:autoSpaceDE w:val="0"/>
      <w:autoSpaceDN w:val="0"/>
      <w:adjustRightInd w:val="0"/>
      <w:ind w:firstLine="227"/>
      <w:jc w:val="both"/>
    </w:pPr>
    <w:rPr>
      <w:color w:val="800080"/>
    </w:rPr>
  </w:style>
  <w:style w:type="paragraph" w:customStyle="1" w:styleId="InizioTabella">
    <w:name w:val="Inizio Tabella"/>
    <w:basedOn w:val="Normale"/>
    <w:pPr>
      <w:autoSpaceDE w:val="0"/>
      <w:autoSpaceDN w:val="0"/>
      <w:adjustRightInd w:val="0"/>
      <w:ind w:firstLine="227"/>
      <w:jc w:val="both"/>
    </w:pPr>
    <w:rPr>
      <w:color w:val="FFFF00"/>
    </w:rPr>
  </w:style>
  <w:style w:type="paragraph" w:customStyle="1" w:styleId="Testo0">
    <w:name w:val="Testo"/>
    <w:basedOn w:val="Normale"/>
    <w:pPr>
      <w:autoSpaceDE w:val="0"/>
      <w:autoSpaceDN w:val="0"/>
      <w:adjustRightInd w:val="0"/>
      <w:ind w:firstLine="227"/>
      <w:jc w:val="both"/>
    </w:p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styleId="Enfasigrassetto">
    <w:name w:val="Strong"/>
    <w:qFormat/>
    <w:rPr>
      <w:b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1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A115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33</cp:revision>
  <cp:lastPrinted>2016-03-22T10:13:00Z</cp:lastPrinted>
  <dcterms:created xsi:type="dcterms:W3CDTF">2015-10-22T10:12:00Z</dcterms:created>
  <dcterms:modified xsi:type="dcterms:W3CDTF">2016-06-01T15:19:00Z</dcterms:modified>
</cp:coreProperties>
</file>