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52" w:rsidRPr="00002058" w:rsidRDefault="00216952">
      <w:pPr>
        <w:pStyle w:val="Corpotesto"/>
        <w:widowControl w:val="0"/>
        <w:jc w:val="center"/>
        <w:rPr>
          <w:sz w:val="2"/>
          <w:szCs w:val="2"/>
        </w:rPr>
      </w:pPr>
    </w:p>
    <w:tbl>
      <w:tblPr>
        <w:tblW w:w="6521" w:type="dxa"/>
        <w:tblInd w:w="108" w:type="dxa"/>
        <w:tblLook w:val="0000" w:firstRow="0" w:lastRow="0" w:firstColumn="0" w:lastColumn="0" w:noHBand="0" w:noVBand="0"/>
      </w:tblPr>
      <w:tblGrid>
        <w:gridCol w:w="537"/>
        <w:gridCol w:w="5984"/>
      </w:tblGrid>
      <w:tr w:rsidR="00216952" w:rsidRPr="00002058">
        <w:tc>
          <w:tcPr>
            <w:tcW w:w="537" w:type="dxa"/>
            <w:tcBorders>
              <w:bottom w:val="single" w:sz="4" w:space="0" w:color="5F5F5F"/>
              <w:right w:val="single" w:sz="4" w:space="0" w:color="5F5F5F"/>
            </w:tcBorders>
            <w:vAlign w:val="center"/>
          </w:tcPr>
          <w:p w:rsidR="00216952" w:rsidRPr="00002058" w:rsidRDefault="00216952" w:rsidP="00D2542A">
            <w:pPr>
              <w:pStyle w:val="DicituraAtto"/>
            </w:pPr>
            <w:r w:rsidRPr="00002058">
              <w:t>4</w:t>
            </w:r>
            <w:r w:rsidR="00F75E50" w:rsidRPr="00002058">
              <w:t>6</w:t>
            </w:r>
            <w:r w:rsidR="00D2542A" w:rsidRPr="00002058">
              <w:t>6</w:t>
            </w:r>
          </w:p>
        </w:tc>
        <w:tc>
          <w:tcPr>
            <w:tcW w:w="5984" w:type="dxa"/>
            <w:tcBorders>
              <w:left w:val="single" w:sz="4" w:space="0" w:color="5F5F5F"/>
              <w:bottom w:val="single" w:sz="4" w:space="0" w:color="5F5F5F"/>
            </w:tcBorders>
          </w:tcPr>
          <w:p w:rsidR="00216952" w:rsidRPr="00002058" w:rsidRDefault="00216952">
            <w:pPr>
              <w:widowControl w:val="0"/>
              <w:tabs>
                <w:tab w:val="left" w:pos="3420"/>
              </w:tabs>
              <w:jc w:val="center"/>
              <w:rPr>
                <w:rFonts w:ascii="Arial" w:hAnsi="Arial" w:cs="Arial"/>
                <w:b/>
                <w:i/>
                <w:sz w:val="22"/>
                <w:szCs w:val="22"/>
              </w:rPr>
            </w:pPr>
          </w:p>
        </w:tc>
      </w:tr>
      <w:tr w:rsidR="00216952" w:rsidRPr="00002058">
        <w:trPr>
          <w:trHeight w:val="352"/>
        </w:trPr>
        <w:tc>
          <w:tcPr>
            <w:tcW w:w="537" w:type="dxa"/>
            <w:tcBorders>
              <w:top w:val="single" w:sz="4" w:space="0" w:color="5F5F5F"/>
              <w:right w:val="single" w:sz="4" w:space="0" w:color="5F5F5F"/>
            </w:tcBorders>
            <w:vAlign w:val="center"/>
          </w:tcPr>
          <w:p w:rsidR="00216952" w:rsidRPr="00002058" w:rsidRDefault="00216952">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216952" w:rsidRPr="00002058" w:rsidRDefault="00216952">
            <w:pPr>
              <w:pStyle w:val="TitoloAtto"/>
            </w:pPr>
            <w:r w:rsidRPr="00002058">
              <w:t>Richiesta di esclusione della procedibilità per particolare tenuità del fatto</w:t>
            </w:r>
          </w:p>
        </w:tc>
      </w:tr>
    </w:tbl>
    <w:p w:rsidR="00216952" w:rsidRPr="00002058" w:rsidRDefault="00216952">
      <w:pPr>
        <w:pStyle w:val="CapoversoAtti"/>
      </w:pPr>
    </w:p>
    <w:p w:rsidR="00216952" w:rsidRPr="00002058" w:rsidRDefault="00216952">
      <w:pPr>
        <w:pStyle w:val="CapoversoAtti"/>
      </w:pPr>
    </w:p>
    <w:p w:rsidR="00216952" w:rsidRPr="00002058" w:rsidRDefault="00216952">
      <w:pPr>
        <w:pStyle w:val="CapoversoAtti"/>
      </w:pPr>
    </w:p>
    <w:p w:rsidR="00216952" w:rsidRPr="00002058" w:rsidRDefault="00216952">
      <w:pPr>
        <w:pStyle w:val="CapoversoAtti"/>
        <w:jc w:val="center"/>
      </w:pPr>
      <w:r w:rsidRPr="00002058">
        <w:t>Giudice di pace di ... … …</w:t>
      </w:r>
      <w:r w:rsidRPr="00002058">
        <w:rPr>
          <w:snapToGrid w:val="0"/>
          <w:u w:color="000000"/>
        </w:rPr>
        <w:t> </w:t>
      </w:r>
      <w:r w:rsidRPr="00002058">
        <w:rPr>
          <w:rStyle w:val="Rimandonotaapidipagina"/>
          <w:snapToGrid w:val="0"/>
          <w:u w:color="000000"/>
        </w:rPr>
        <w:footnoteReference w:id="1"/>
      </w:r>
    </w:p>
    <w:p w:rsidR="00216952" w:rsidRPr="00002058" w:rsidRDefault="00216952">
      <w:pPr>
        <w:pStyle w:val="CapoversoAtti"/>
      </w:pPr>
    </w:p>
    <w:p w:rsidR="00216952" w:rsidRPr="00002058" w:rsidRDefault="00216952">
      <w:pPr>
        <w:pStyle w:val="CapoversoAtti"/>
      </w:pPr>
    </w:p>
    <w:p w:rsidR="00216952" w:rsidRPr="00002058" w:rsidRDefault="00216952">
      <w:pPr>
        <w:pStyle w:val="CapoversoAtti"/>
      </w:pPr>
      <w:r w:rsidRPr="00002058">
        <w:t xml:space="preserve">Il sottoscritto Avv. … … … (nome e cognome), difensore di … … … (nome e cognome), </w:t>
      </w:r>
      <w:proofErr w:type="gramStart"/>
      <w:r w:rsidRPr="00002058">
        <w:t>imputato</w:t>
      </w:r>
      <w:r w:rsidRPr="00002058">
        <w:rPr>
          <w:snapToGrid w:val="0"/>
          <w:u w:color="000000"/>
        </w:rPr>
        <w:t> </w:t>
      </w:r>
      <w:r w:rsidRPr="00002058">
        <w:rPr>
          <w:rStyle w:val="Rimandonotaapidipagina"/>
          <w:i/>
          <w:snapToGrid w:val="0"/>
          <w:u w:color="000000"/>
        </w:rPr>
        <w:footnoteReference w:id="2"/>
      </w:r>
      <w:r w:rsidRPr="00002058">
        <w:t xml:space="preserve"> nel</w:t>
      </w:r>
      <w:proofErr w:type="gramEnd"/>
      <w:r w:rsidRPr="00002058">
        <w:t xml:space="preserve"> procedimento penale n. … … …</w:t>
      </w:r>
    </w:p>
    <w:p w:rsidR="00216952" w:rsidRPr="00002058" w:rsidRDefault="00216952">
      <w:pPr>
        <w:pStyle w:val="CapoversoAtti"/>
      </w:pPr>
    </w:p>
    <w:p w:rsidR="00216952" w:rsidRPr="00002058" w:rsidRDefault="00216952">
      <w:pPr>
        <w:pStyle w:val="CapoversoAtti"/>
        <w:jc w:val="center"/>
        <w:rPr>
          <w:i/>
        </w:rPr>
      </w:pPr>
      <w:proofErr w:type="gramStart"/>
      <w:r w:rsidRPr="00002058">
        <w:rPr>
          <w:i/>
        </w:rPr>
        <w:t>premesso</w:t>
      </w:r>
      <w:proofErr w:type="gramEnd"/>
    </w:p>
    <w:p w:rsidR="00216952" w:rsidRPr="00002058" w:rsidRDefault="00216952">
      <w:pPr>
        <w:pStyle w:val="CapoversoAtti"/>
      </w:pPr>
    </w:p>
    <w:p w:rsidR="00216952" w:rsidRPr="00002058" w:rsidRDefault="00216952">
      <w:pPr>
        <w:pStyle w:val="CapoversoAtti"/>
      </w:pPr>
      <w:r w:rsidRPr="00002058">
        <w:t>– che il fatto conte</w:t>
      </w:r>
      <w:r w:rsidR="00DE42A0" w:rsidRPr="00002058">
        <w:t>stato</w:t>
      </w:r>
      <w:r w:rsidRPr="00002058">
        <w:t xml:space="preserve"> appare, in </w:t>
      </w:r>
      <w:proofErr w:type="gramStart"/>
      <w:r w:rsidRPr="00002058">
        <w:t>concreto</w:t>
      </w:r>
      <w:r w:rsidRPr="00002058">
        <w:rPr>
          <w:snapToGrid w:val="0"/>
          <w:u w:color="000000"/>
        </w:rPr>
        <w:t> </w:t>
      </w:r>
      <w:r w:rsidRPr="00002058">
        <w:rPr>
          <w:rStyle w:val="Rimandonotaapidipagina"/>
          <w:snapToGrid w:val="0"/>
          <w:u w:color="000000"/>
        </w:rPr>
        <w:footnoteReference w:id="3"/>
      </w:r>
      <w:r w:rsidRPr="00002058">
        <w:t>,</w:t>
      </w:r>
      <w:proofErr w:type="gramEnd"/>
      <w:r w:rsidRPr="00002058">
        <w:t xml:space="preserve"> di particolare tenuità e, segnatamente:</w:t>
      </w:r>
    </w:p>
    <w:p w:rsidR="00216952" w:rsidRPr="00002058" w:rsidRDefault="007755CE">
      <w:pPr>
        <w:pStyle w:val="CapoversoAtti"/>
      </w:pPr>
      <w:r w:rsidRPr="00002058">
        <w:t xml:space="preserve">– </w:t>
      </w:r>
      <w:r w:rsidR="00216952" w:rsidRPr="00002058">
        <w:t>quanto all</w:t>
      </w:r>
      <w:r w:rsidRPr="00002058">
        <w:t>’</w:t>
      </w:r>
      <w:r w:rsidR="00216952" w:rsidRPr="00002058">
        <w:t>esiguità del danno (oppure del pericolo), risulta agli atti che ... … …;</w:t>
      </w:r>
    </w:p>
    <w:p w:rsidR="00216952" w:rsidRPr="00002058" w:rsidRDefault="007755CE">
      <w:pPr>
        <w:pStyle w:val="CapoversoAtti"/>
      </w:pPr>
      <w:r w:rsidRPr="00002058">
        <w:t xml:space="preserve">– </w:t>
      </w:r>
      <w:r w:rsidR="00216952" w:rsidRPr="00002058">
        <w:t>quanto all</w:t>
      </w:r>
      <w:r w:rsidRPr="00002058">
        <w:t>’</w:t>
      </w:r>
      <w:r w:rsidR="00216952" w:rsidRPr="00002058">
        <w:t>occasionalità della condotta, si rappresenta che … … …;</w:t>
      </w:r>
    </w:p>
    <w:p w:rsidR="00216952" w:rsidRPr="00002058" w:rsidRDefault="007755CE">
      <w:pPr>
        <w:pStyle w:val="CapoversoAtti"/>
      </w:pPr>
      <w:r w:rsidRPr="00002058">
        <w:t xml:space="preserve">– </w:t>
      </w:r>
      <w:r w:rsidR="00216952" w:rsidRPr="00002058">
        <w:t>quanto al grado di colpevolezza, si evidenzia che … … …;</w:t>
      </w:r>
    </w:p>
    <w:p w:rsidR="00216952" w:rsidRPr="00002058" w:rsidRDefault="00216952">
      <w:pPr>
        <w:pStyle w:val="CapoversoAtti"/>
      </w:pPr>
      <w:r w:rsidRPr="00002058">
        <w:t>– che la prosecuzione del presente procedimento penale, sotto il profilo soggettivo, pregiudicherebbe oltremodo le esigenze personali (lavorative/familiari/di salute/di studio) dell</w:t>
      </w:r>
      <w:r w:rsidR="007755CE" w:rsidRPr="00002058">
        <w:t>’</w:t>
      </w:r>
      <w:r w:rsidRPr="00002058">
        <w:t>imputato, poiché … … …;</w:t>
      </w:r>
    </w:p>
    <w:p w:rsidR="00216952" w:rsidRPr="00002058" w:rsidRDefault="00216952">
      <w:pPr>
        <w:pStyle w:val="CapoversoAtti"/>
      </w:pPr>
      <w:r w:rsidRPr="00002058">
        <w:rPr>
          <w:smallCaps/>
        </w:rPr>
        <w:t xml:space="preserve">– </w:t>
      </w:r>
      <w:r w:rsidRPr="00002058">
        <w:t>che, d</w:t>
      </w:r>
      <w:r w:rsidR="007755CE" w:rsidRPr="00002058">
        <w:t>’</w:t>
      </w:r>
      <w:r w:rsidRPr="00002058">
        <w:t xml:space="preserve">altro canto, non risulta manifestata alcuna opposizione né alcun interesse contrario della persona offesa, emergendo agli atti che … … </w:t>
      </w:r>
      <w:proofErr w:type="gramStart"/>
      <w:r w:rsidRPr="00002058">
        <w:t>…</w:t>
      </w:r>
      <w:r w:rsidRPr="00002058">
        <w:rPr>
          <w:snapToGrid w:val="0"/>
          <w:u w:color="000000"/>
        </w:rPr>
        <w:t> </w:t>
      </w:r>
      <w:r w:rsidRPr="00002058">
        <w:rPr>
          <w:rStyle w:val="Rimandonotaapidipagina"/>
          <w:snapToGrid w:val="0"/>
          <w:u w:color="000000"/>
        </w:rPr>
        <w:footnoteReference w:id="4"/>
      </w:r>
      <w:r w:rsidRPr="00002058">
        <w:t>;</w:t>
      </w:r>
      <w:proofErr w:type="gramEnd"/>
    </w:p>
    <w:p w:rsidR="00216952" w:rsidRPr="00002058" w:rsidRDefault="00216952">
      <w:pPr>
        <w:pStyle w:val="CapoversoAtti"/>
        <w:jc w:val="center"/>
        <w:rPr>
          <w:i/>
        </w:rPr>
      </w:pPr>
      <w:proofErr w:type="gramStart"/>
      <w:r w:rsidRPr="00002058">
        <w:rPr>
          <w:i/>
        </w:rPr>
        <w:lastRenderedPageBreak/>
        <w:t>chiede</w:t>
      </w:r>
      <w:proofErr w:type="gramEnd"/>
    </w:p>
    <w:p w:rsidR="00216952" w:rsidRPr="00002058" w:rsidRDefault="00216952">
      <w:pPr>
        <w:pStyle w:val="CapoversoAtti"/>
      </w:pPr>
    </w:p>
    <w:p w:rsidR="00216952" w:rsidRPr="00002058" w:rsidRDefault="00216952">
      <w:pPr>
        <w:pStyle w:val="CapoversoAtti"/>
      </w:pPr>
      <w:proofErr w:type="gramStart"/>
      <w:r w:rsidRPr="00002058">
        <w:t>che</w:t>
      </w:r>
      <w:proofErr w:type="gramEnd"/>
      <w:r w:rsidRPr="00002058">
        <w:t>, in relazione all</w:t>
      </w:r>
      <w:r w:rsidR="007755CE" w:rsidRPr="00002058">
        <w:t>’</w:t>
      </w:r>
      <w:r w:rsidRPr="00002058">
        <w:t>art. 34 d.lgs. n. 274 del 2000, venga emessa sentenza di non doversi procedere</w:t>
      </w:r>
      <w:r w:rsidRPr="00002058">
        <w:rPr>
          <w:snapToGrid w:val="0"/>
          <w:u w:color="000000"/>
        </w:rPr>
        <w:t> </w:t>
      </w:r>
      <w:r w:rsidRPr="00002058">
        <w:rPr>
          <w:rStyle w:val="Rimandonotaapidipagina"/>
          <w:snapToGrid w:val="0"/>
          <w:u w:color="000000"/>
        </w:rPr>
        <w:footnoteReference w:id="5"/>
      </w:r>
      <w:r w:rsidRPr="00002058">
        <w:t xml:space="preserve"> nei confronti dell</w:t>
      </w:r>
      <w:r w:rsidR="007755CE" w:rsidRPr="00002058">
        <w:t>’</w:t>
      </w:r>
      <w:r w:rsidRPr="00002058">
        <w:t>imputato per particolare tenuità del fatto.</w:t>
      </w:r>
    </w:p>
    <w:p w:rsidR="00216952" w:rsidRPr="00002058" w:rsidRDefault="00216952">
      <w:pPr>
        <w:pStyle w:val="CapoversoAtti"/>
      </w:pPr>
    </w:p>
    <w:p w:rsidR="00216952" w:rsidRPr="00002058" w:rsidRDefault="00216952">
      <w:pPr>
        <w:pStyle w:val="CapoversoAtti"/>
      </w:pPr>
      <w:r w:rsidRPr="00002058">
        <w:t>Luogo e data</w:t>
      </w:r>
    </w:p>
    <w:p w:rsidR="00216952" w:rsidRPr="00002058" w:rsidRDefault="00216952">
      <w:pPr>
        <w:pStyle w:val="CapoversoAtti"/>
      </w:pPr>
    </w:p>
    <w:p w:rsidR="00216952" w:rsidRPr="00002058" w:rsidRDefault="00216952">
      <w:pPr>
        <w:pStyle w:val="CapoversoAtti"/>
        <w:jc w:val="right"/>
      </w:pPr>
      <w:r w:rsidRPr="00002058">
        <w:t>Sottoscrizione del difensore</w:t>
      </w:r>
    </w:p>
    <w:sectPr w:rsidR="00216952" w:rsidRPr="00002058" w:rsidSect="00F75E50">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23" w:rsidRDefault="005F0223">
      <w:r>
        <w:separator/>
      </w:r>
    </w:p>
    <w:p w:rsidR="005F0223" w:rsidRDefault="005F0223"/>
    <w:p w:rsidR="005F0223" w:rsidRDefault="005F0223"/>
    <w:p w:rsidR="005F0223" w:rsidRDefault="005F0223"/>
  </w:endnote>
  <w:endnote w:type="continuationSeparator" w:id="0">
    <w:p w:rsidR="005F0223" w:rsidRDefault="005F0223">
      <w:r>
        <w:continuationSeparator/>
      </w:r>
    </w:p>
    <w:p w:rsidR="005F0223" w:rsidRDefault="005F0223"/>
    <w:p w:rsidR="005F0223" w:rsidRDefault="005F0223"/>
    <w:p w:rsidR="005F0223" w:rsidRDefault="005F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D5" w:rsidRDefault="009B4E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D5" w:rsidRDefault="009B4E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D5" w:rsidRDefault="009B4E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5F0223">
        <w:tc>
          <w:tcPr>
            <w:tcW w:w="1134" w:type="dxa"/>
            <w:tcBorders>
              <w:top w:val="nil"/>
              <w:left w:val="nil"/>
              <w:bottom w:val="single" w:sz="4" w:space="0" w:color="auto"/>
              <w:right w:val="nil"/>
            </w:tcBorders>
            <w:tcMar>
              <w:top w:w="0" w:type="dxa"/>
              <w:left w:w="0" w:type="dxa"/>
              <w:bottom w:w="0" w:type="dxa"/>
              <w:right w:w="0" w:type="dxa"/>
            </w:tcMar>
          </w:tcPr>
          <w:p w:rsidR="005F0223" w:rsidRDefault="005F0223">
            <w:pPr>
              <w:pStyle w:val="Pidipagina"/>
              <w:spacing w:line="200" w:lineRule="exact"/>
              <w:rPr>
                <w:rFonts w:ascii="Simoncini Garamond" w:hAnsi="Simoncini Garamond" w:cs="Simoncini Garamond"/>
              </w:rPr>
            </w:pPr>
          </w:p>
        </w:tc>
      </w:tr>
    </w:tbl>
    <w:p w:rsidR="005F0223" w:rsidRDefault="005F0223">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5F0223">
        <w:tc>
          <w:tcPr>
            <w:tcW w:w="1134" w:type="dxa"/>
            <w:tcBorders>
              <w:top w:val="nil"/>
              <w:left w:val="nil"/>
              <w:bottom w:val="single" w:sz="4" w:space="0" w:color="auto"/>
              <w:right w:val="nil"/>
            </w:tcBorders>
            <w:tcMar>
              <w:top w:w="0" w:type="dxa"/>
              <w:left w:w="0" w:type="dxa"/>
              <w:bottom w:w="0" w:type="dxa"/>
              <w:right w:w="0" w:type="dxa"/>
            </w:tcMar>
          </w:tcPr>
          <w:p w:rsidR="005F0223" w:rsidRDefault="005F0223">
            <w:pPr>
              <w:pStyle w:val="Pidipagina"/>
              <w:spacing w:line="200" w:lineRule="exact"/>
              <w:rPr>
                <w:rFonts w:ascii="Simoncini Garamond" w:hAnsi="Simoncini Garamond" w:cs="Simoncini Garamond"/>
              </w:rPr>
            </w:pPr>
          </w:p>
        </w:tc>
      </w:tr>
    </w:tbl>
    <w:p w:rsidR="005F0223" w:rsidRDefault="005F0223">
      <w:pPr>
        <w:spacing w:line="100" w:lineRule="exact"/>
        <w:rPr>
          <w:sz w:val="10"/>
          <w:szCs w:val="10"/>
        </w:rPr>
      </w:pPr>
    </w:p>
  </w:footnote>
  <w:footnote w:id="1">
    <w:p w:rsidR="00216952" w:rsidRDefault="00216952">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Oppure: “Procuratore della Repubblica”, se l</w:t>
      </w:r>
      <w:r w:rsidR="007755CE">
        <w:rPr>
          <w:sz w:val="16"/>
          <w:szCs w:val="16"/>
        </w:rPr>
        <w:t>’</w:t>
      </w:r>
      <w:r>
        <w:rPr>
          <w:sz w:val="16"/>
          <w:szCs w:val="16"/>
        </w:rPr>
        <w:t>istanza è proposta in fase di indagini preliminari. Non può escludersi, poi, che la richiesta, dopo l</w:t>
      </w:r>
      <w:r w:rsidR="007755CE">
        <w:rPr>
          <w:sz w:val="16"/>
          <w:szCs w:val="16"/>
        </w:rPr>
        <w:t>’</w:t>
      </w:r>
      <w:r>
        <w:rPr>
          <w:sz w:val="16"/>
          <w:szCs w:val="16"/>
        </w:rPr>
        <w:t>esercizio dell</w:t>
      </w:r>
      <w:r w:rsidR="007755CE">
        <w:rPr>
          <w:sz w:val="16"/>
          <w:szCs w:val="16"/>
        </w:rPr>
        <w:t>’</w:t>
      </w:r>
      <w:r>
        <w:rPr>
          <w:sz w:val="16"/>
          <w:szCs w:val="16"/>
        </w:rPr>
        <w:t>azione penale, possa essere rivolta al Tribunale monocratico, applicandosi la clausola di estinzione in esame non solo davanti al Giudice di pace, ma anche davanti al giudice diverso da quello onorario che debba giudicare di un reato divenuto di competenza del magistrato onorario (</w:t>
      </w:r>
      <w:proofErr w:type="spellStart"/>
      <w:proofErr w:type="gramStart"/>
      <w:r>
        <w:rPr>
          <w:sz w:val="16"/>
          <w:szCs w:val="16"/>
        </w:rPr>
        <w:t>Cass</w:t>
      </w:r>
      <w:proofErr w:type="spellEnd"/>
      <w:r>
        <w:rPr>
          <w:sz w:val="16"/>
          <w:szCs w:val="16"/>
        </w:rPr>
        <w:t>.,</w:t>
      </w:r>
      <w:proofErr w:type="gramEnd"/>
      <w:r>
        <w:rPr>
          <w:sz w:val="16"/>
          <w:szCs w:val="16"/>
        </w:rPr>
        <w:t xml:space="preserve"> sez. IV, 1</w:t>
      </w:r>
      <w:r w:rsidR="00F75E50">
        <w:rPr>
          <w:sz w:val="16"/>
          <w:szCs w:val="16"/>
        </w:rPr>
        <w:t>°</w:t>
      </w:r>
      <w:r>
        <w:rPr>
          <w:sz w:val="16"/>
          <w:szCs w:val="16"/>
        </w:rPr>
        <w:t xml:space="preserve"> marzo 2006, Crosio, </w:t>
      </w:r>
      <w:r>
        <w:rPr>
          <w:i/>
          <w:sz w:val="16"/>
          <w:szCs w:val="16"/>
        </w:rPr>
        <w:t xml:space="preserve">CED </w:t>
      </w:r>
      <w:proofErr w:type="spellStart"/>
      <w:r>
        <w:rPr>
          <w:i/>
          <w:sz w:val="16"/>
          <w:szCs w:val="16"/>
        </w:rPr>
        <w:t>Cass</w:t>
      </w:r>
      <w:proofErr w:type="spellEnd"/>
      <w:r>
        <w:rPr>
          <w:i/>
          <w:sz w:val="16"/>
          <w:szCs w:val="16"/>
        </w:rPr>
        <w:t>.</w:t>
      </w:r>
      <w:r>
        <w:rPr>
          <w:sz w:val="16"/>
          <w:szCs w:val="16"/>
        </w:rPr>
        <w:t>, 234031): v. Quadro essenziale, § III, 4.</w:t>
      </w:r>
    </w:p>
  </w:footnote>
  <w:footnote w:id="2">
    <w:p w:rsidR="00216952" w:rsidRDefault="00216952">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Ovvero indagato: v. nt. 1. D</w:t>
      </w:r>
      <w:r w:rsidR="007755CE">
        <w:rPr>
          <w:sz w:val="16"/>
          <w:szCs w:val="16"/>
        </w:rPr>
        <w:t>’</w:t>
      </w:r>
      <w:r>
        <w:rPr>
          <w:sz w:val="16"/>
          <w:szCs w:val="16"/>
        </w:rPr>
        <w:t>ora in poi, ogni riferimento effettuato nel presente atto all</w:t>
      </w:r>
      <w:r w:rsidR="007755CE">
        <w:rPr>
          <w:sz w:val="16"/>
          <w:szCs w:val="16"/>
        </w:rPr>
        <w:t>’</w:t>
      </w:r>
      <w:r>
        <w:rPr>
          <w:sz w:val="16"/>
          <w:szCs w:val="16"/>
        </w:rPr>
        <w:t>impu</w:t>
      </w:r>
      <w:r w:rsidR="00F75E50">
        <w:rPr>
          <w:sz w:val="16"/>
          <w:szCs w:val="16"/>
        </w:rPr>
        <w:softHyphen/>
      </w:r>
      <w:r>
        <w:rPr>
          <w:sz w:val="16"/>
          <w:szCs w:val="16"/>
        </w:rPr>
        <w:t>tato, deve intendersi valido anche per l</w:t>
      </w:r>
      <w:r w:rsidR="007755CE">
        <w:rPr>
          <w:sz w:val="16"/>
          <w:szCs w:val="16"/>
        </w:rPr>
        <w:t>’</w:t>
      </w:r>
      <w:r>
        <w:rPr>
          <w:sz w:val="16"/>
          <w:szCs w:val="16"/>
        </w:rPr>
        <w:t xml:space="preserve">indagato, senza ulteriore specificazione. </w:t>
      </w:r>
    </w:p>
  </w:footnote>
  <w:footnote w:id="3">
    <w:p w:rsidR="00216952" w:rsidRDefault="00216952">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Nel procedimento penale davanti al Giudice di pace, ai fini dell</w:t>
      </w:r>
      <w:r w:rsidR="007755CE">
        <w:rPr>
          <w:sz w:val="16"/>
          <w:szCs w:val="16"/>
        </w:rPr>
        <w:t>’</w:t>
      </w:r>
      <w:r>
        <w:rPr>
          <w:sz w:val="16"/>
          <w:szCs w:val="16"/>
        </w:rPr>
        <w:t>applicabilità della causa di improcedibilità di cui all</w:t>
      </w:r>
      <w:r w:rsidR="007755CE">
        <w:rPr>
          <w:sz w:val="16"/>
          <w:szCs w:val="16"/>
        </w:rPr>
        <w:t>’</w:t>
      </w:r>
      <w:r>
        <w:rPr>
          <w:sz w:val="16"/>
          <w:szCs w:val="16"/>
        </w:rPr>
        <w:t>art. 34, d.lgs. n. 274 del 2000, dovendosi considerare congiuntamente l</w:t>
      </w:r>
      <w:r w:rsidR="007755CE">
        <w:rPr>
          <w:sz w:val="16"/>
          <w:szCs w:val="16"/>
        </w:rPr>
        <w:t>’</w:t>
      </w:r>
      <w:r>
        <w:rPr>
          <w:sz w:val="16"/>
          <w:szCs w:val="16"/>
        </w:rPr>
        <w:t>esigui</w:t>
      </w:r>
      <w:r w:rsidR="00F75E50">
        <w:rPr>
          <w:sz w:val="16"/>
          <w:szCs w:val="16"/>
        </w:rPr>
        <w:softHyphen/>
      </w:r>
      <w:r>
        <w:rPr>
          <w:sz w:val="16"/>
          <w:szCs w:val="16"/>
        </w:rPr>
        <w:t>tà del danno o del pericolo derivato, il grado di colpevolezza e l</w:t>
      </w:r>
      <w:r w:rsidR="007755CE">
        <w:rPr>
          <w:sz w:val="16"/>
          <w:szCs w:val="16"/>
        </w:rPr>
        <w:t>’</w:t>
      </w:r>
      <w:r>
        <w:rPr>
          <w:sz w:val="16"/>
          <w:szCs w:val="16"/>
        </w:rPr>
        <w:t>occasionalità del fatto, la valutazione del giudice non può limitarsi alla fattispecie astratta di reato, ma deve riguardare quella concreta (</w:t>
      </w:r>
      <w:proofErr w:type="spellStart"/>
      <w:proofErr w:type="gramStart"/>
      <w:r>
        <w:rPr>
          <w:sz w:val="16"/>
          <w:szCs w:val="16"/>
        </w:rPr>
        <w:t>Cass</w:t>
      </w:r>
      <w:proofErr w:type="spellEnd"/>
      <w:r>
        <w:rPr>
          <w:sz w:val="16"/>
          <w:szCs w:val="16"/>
        </w:rPr>
        <w:t>.,</w:t>
      </w:r>
      <w:proofErr w:type="gramEnd"/>
      <w:r>
        <w:rPr>
          <w:sz w:val="16"/>
          <w:szCs w:val="16"/>
        </w:rPr>
        <w:t xml:space="preserve"> sez. IV, 28 aprile 2006, </w:t>
      </w:r>
      <w:proofErr w:type="spellStart"/>
      <w:r>
        <w:rPr>
          <w:sz w:val="16"/>
          <w:szCs w:val="16"/>
        </w:rPr>
        <w:t>Ciampa</w:t>
      </w:r>
      <w:proofErr w:type="spellEnd"/>
      <w:r>
        <w:rPr>
          <w:sz w:val="16"/>
          <w:szCs w:val="16"/>
        </w:rPr>
        <w:t xml:space="preserve">, </w:t>
      </w:r>
      <w:r>
        <w:rPr>
          <w:i/>
          <w:sz w:val="16"/>
          <w:szCs w:val="16"/>
        </w:rPr>
        <w:t xml:space="preserve">Arch. giur. </w:t>
      </w:r>
      <w:proofErr w:type="spellStart"/>
      <w:proofErr w:type="gramStart"/>
      <w:r>
        <w:rPr>
          <w:i/>
          <w:sz w:val="16"/>
          <w:szCs w:val="16"/>
        </w:rPr>
        <w:t>circolaz</w:t>
      </w:r>
      <w:proofErr w:type="spellEnd"/>
      <w:r>
        <w:rPr>
          <w:i/>
          <w:sz w:val="16"/>
          <w:szCs w:val="16"/>
        </w:rPr>
        <w:t>.</w:t>
      </w:r>
      <w:r>
        <w:rPr>
          <w:sz w:val="16"/>
          <w:szCs w:val="16"/>
        </w:rPr>
        <w:t>,</w:t>
      </w:r>
      <w:proofErr w:type="gramEnd"/>
      <w:r>
        <w:rPr>
          <w:sz w:val="16"/>
          <w:szCs w:val="16"/>
        </w:rPr>
        <w:t xml:space="preserve"> 2007, 260; </w:t>
      </w:r>
      <w:proofErr w:type="spellStart"/>
      <w:r>
        <w:rPr>
          <w:sz w:val="16"/>
          <w:szCs w:val="16"/>
        </w:rPr>
        <w:t>Cass</w:t>
      </w:r>
      <w:proofErr w:type="spellEnd"/>
      <w:r>
        <w:rPr>
          <w:sz w:val="16"/>
          <w:szCs w:val="16"/>
        </w:rPr>
        <w:t xml:space="preserve">., sez. 5, 7 maggio 2009, Scalzo, </w:t>
      </w:r>
      <w:r>
        <w:rPr>
          <w:i/>
          <w:sz w:val="16"/>
          <w:szCs w:val="16"/>
        </w:rPr>
        <w:t xml:space="preserve">CED </w:t>
      </w:r>
      <w:proofErr w:type="spellStart"/>
      <w:r>
        <w:rPr>
          <w:i/>
          <w:sz w:val="16"/>
          <w:szCs w:val="16"/>
        </w:rPr>
        <w:t>Cass</w:t>
      </w:r>
      <w:proofErr w:type="spellEnd"/>
      <w:r>
        <w:rPr>
          <w:i/>
          <w:sz w:val="16"/>
          <w:szCs w:val="16"/>
        </w:rPr>
        <w:t>.</w:t>
      </w:r>
      <w:r>
        <w:rPr>
          <w:sz w:val="16"/>
          <w:szCs w:val="16"/>
        </w:rPr>
        <w:t>, 244910). È opportuno, pertanto, che con riguardo a ciascun indice normativo di tenuità del fatto, l</w:t>
      </w:r>
      <w:r w:rsidR="007755CE">
        <w:rPr>
          <w:sz w:val="16"/>
          <w:szCs w:val="16"/>
        </w:rPr>
        <w:t>’</w:t>
      </w:r>
      <w:r>
        <w:rPr>
          <w:sz w:val="16"/>
          <w:szCs w:val="16"/>
        </w:rPr>
        <w:t>istante si soffermi sui positivi aspetti “concretamente” verificatesi ed emergenti nella vicenda di specie.</w:t>
      </w:r>
    </w:p>
  </w:footnote>
  <w:footnote w:id="4">
    <w:p w:rsidR="00216952" w:rsidRDefault="00216952">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Fare riferimento, se del caso, all</w:t>
      </w:r>
      <w:r w:rsidR="007755CE">
        <w:rPr>
          <w:sz w:val="16"/>
          <w:szCs w:val="16"/>
        </w:rPr>
        <w:t>’</w:t>
      </w:r>
      <w:r>
        <w:rPr>
          <w:sz w:val="16"/>
          <w:szCs w:val="16"/>
        </w:rPr>
        <w:t>eventuale dichiarazione extraprocessuale con sottoscrizione autentica della parte offesa, oppure al comportamento in equivoco posto in essere dalla vittima del reato in seno al processo. Affinché il Giudice di pace possa dichiarare l</w:t>
      </w:r>
      <w:r w:rsidR="007755CE">
        <w:rPr>
          <w:sz w:val="16"/>
          <w:szCs w:val="16"/>
        </w:rPr>
        <w:t>’</w:t>
      </w:r>
      <w:r>
        <w:rPr>
          <w:sz w:val="16"/>
          <w:szCs w:val="16"/>
        </w:rPr>
        <w:t xml:space="preserve">improcedibilità per particolare tenuità del fatto è necessario, infatti, che la manifestazione non ostativa della persona offesa sia univoca e concludente: non basta, quindi, che agli atti manchi una formale opposizione (così </w:t>
      </w:r>
      <w:proofErr w:type="spellStart"/>
      <w:proofErr w:type="gramStart"/>
      <w:r>
        <w:rPr>
          <w:sz w:val="16"/>
          <w:szCs w:val="16"/>
        </w:rPr>
        <w:t>Cass</w:t>
      </w:r>
      <w:proofErr w:type="spellEnd"/>
      <w:r>
        <w:rPr>
          <w:sz w:val="16"/>
          <w:szCs w:val="16"/>
        </w:rPr>
        <w:t>.,</w:t>
      </w:r>
      <w:proofErr w:type="gramEnd"/>
      <w:r>
        <w:rPr>
          <w:sz w:val="16"/>
          <w:szCs w:val="16"/>
        </w:rPr>
        <w:t xml:space="preserve"> sez. I, 26 aprile 2005, </w:t>
      </w:r>
      <w:proofErr w:type="spellStart"/>
      <w:r>
        <w:rPr>
          <w:sz w:val="16"/>
          <w:szCs w:val="16"/>
        </w:rPr>
        <w:t>p.g.</w:t>
      </w:r>
      <w:proofErr w:type="spellEnd"/>
      <w:r>
        <w:rPr>
          <w:sz w:val="16"/>
          <w:szCs w:val="16"/>
        </w:rPr>
        <w:t xml:space="preserve"> in </w:t>
      </w:r>
      <w:proofErr w:type="spellStart"/>
      <w:r>
        <w:rPr>
          <w:sz w:val="16"/>
          <w:szCs w:val="16"/>
        </w:rPr>
        <w:t>proc</w:t>
      </w:r>
      <w:proofErr w:type="spellEnd"/>
      <w:r>
        <w:rPr>
          <w:sz w:val="16"/>
          <w:szCs w:val="16"/>
        </w:rPr>
        <w:t xml:space="preserve">. </w:t>
      </w:r>
      <w:proofErr w:type="spellStart"/>
      <w:r>
        <w:rPr>
          <w:sz w:val="16"/>
          <w:szCs w:val="16"/>
        </w:rPr>
        <w:t>Colozzo</w:t>
      </w:r>
      <w:proofErr w:type="spellEnd"/>
      <w:r>
        <w:rPr>
          <w:sz w:val="16"/>
          <w:szCs w:val="16"/>
        </w:rPr>
        <w:t xml:space="preserve">, </w:t>
      </w:r>
      <w:r>
        <w:rPr>
          <w:i/>
          <w:sz w:val="16"/>
          <w:szCs w:val="16"/>
        </w:rPr>
        <w:t xml:space="preserve">CED </w:t>
      </w:r>
      <w:proofErr w:type="spellStart"/>
      <w:proofErr w:type="gramStart"/>
      <w:r>
        <w:rPr>
          <w:i/>
          <w:sz w:val="16"/>
          <w:szCs w:val="16"/>
        </w:rPr>
        <w:t>Cass</w:t>
      </w:r>
      <w:proofErr w:type="spellEnd"/>
      <w:r>
        <w:rPr>
          <w:sz w:val="16"/>
          <w:szCs w:val="16"/>
        </w:rPr>
        <w:t>.,</w:t>
      </w:r>
      <w:proofErr w:type="gramEnd"/>
      <w:r>
        <w:rPr>
          <w:sz w:val="16"/>
          <w:szCs w:val="16"/>
        </w:rPr>
        <w:t xml:space="preserve"> 231331) o che la persona offesa non sia presente all</w:t>
      </w:r>
      <w:r w:rsidR="007755CE">
        <w:rPr>
          <w:sz w:val="16"/>
          <w:szCs w:val="16"/>
        </w:rPr>
        <w:t>’</w:t>
      </w:r>
      <w:r>
        <w:rPr>
          <w:sz w:val="16"/>
          <w:szCs w:val="16"/>
        </w:rPr>
        <w:t xml:space="preserve">udienza dibattimentale (così </w:t>
      </w:r>
      <w:proofErr w:type="spellStart"/>
      <w:r>
        <w:rPr>
          <w:sz w:val="16"/>
          <w:szCs w:val="16"/>
        </w:rPr>
        <w:t>Cass</w:t>
      </w:r>
      <w:proofErr w:type="spellEnd"/>
      <w:r>
        <w:rPr>
          <w:sz w:val="16"/>
          <w:szCs w:val="16"/>
        </w:rPr>
        <w:t xml:space="preserve">., sez. V, 3 marzo 2004, p.m. in </w:t>
      </w:r>
      <w:proofErr w:type="spellStart"/>
      <w:r>
        <w:rPr>
          <w:sz w:val="16"/>
          <w:szCs w:val="16"/>
        </w:rPr>
        <w:t>proc</w:t>
      </w:r>
      <w:proofErr w:type="spellEnd"/>
      <w:r>
        <w:rPr>
          <w:sz w:val="16"/>
          <w:szCs w:val="16"/>
        </w:rPr>
        <w:t xml:space="preserve">. </w:t>
      </w:r>
      <w:proofErr w:type="spellStart"/>
      <w:r>
        <w:rPr>
          <w:sz w:val="16"/>
          <w:szCs w:val="16"/>
        </w:rPr>
        <w:t>Frascari</w:t>
      </w:r>
      <w:proofErr w:type="spellEnd"/>
      <w:r>
        <w:rPr>
          <w:sz w:val="16"/>
          <w:szCs w:val="16"/>
        </w:rPr>
        <w:t xml:space="preserve">, </w:t>
      </w:r>
      <w:r>
        <w:rPr>
          <w:i/>
          <w:sz w:val="16"/>
          <w:szCs w:val="16"/>
        </w:rPr>
        <w:t xml:space="preserve">CED </w:t>
      </w:r>
      <w:proofErr w:type="spellStart"/>
      <w:proofErr w:type="gramStart"/>
      <w:r>
        <w:rPr>
          <w:i/>
          <w:sz w:val="16"/>
          <w:szCs w:val="16"/>
        </w:rPr>
        <w:t>Cass</w:t>
      </w:r>
      <w:proofErr w:type="spellEnd"/>
      <w:r>
        <w:rPr>
          <w:i/>
          <w:sz w:val="16"/>
          <w:szCs w:val="16"/>
        </w:rPr>
        <w:t>.</w:t>
      </w:r>
      <w:r>
        <w:rPr>
          <w:sz w:val="16"/>
          <w:szCs w:val="16"/>
        </w:rPr>
        <w:t>,</w:t>
      </w:r>
      <w:proofErr w:type="gramEnd"/>
      <w:r>
        <w:rPr>
          <w:sz w:val="16"/>
          <w:szCs w:val="16"/>
        </w:rPr>
        <w:t xml:space="preserve"> 229860), occorrendo piuttosto che detta assenza sia preceduta dalla notifica del verbale di udienza con l</w:t>
      </w:r>
      <w:r w:rsidR="007755CE">
        <w:rPr>
          <w:sz w:val="16"/>
          <w:szCs w:val="16"/>
        </w:rPr>
        <w:t>’</w:t>
      </w:r>
      <w:r>
        <w:rPr>
          <w:sz w:val="16"/>
          <w:szCs w:val="16"/>
        </w:rPr>
        <w:t>espresso avviso che, non comparendo all</w:t>
      </w:r>
      <w:r w:rsidR="007755CE">
        <w:rPr>
          <w:sz w:val="16"/>
          <w:szCs w:val="16"/>
        </w:rPr>
        <w:t>’</w:t>
      </w:r>
      <w:r>
        <w:rPr>
          <w:sz w:val="16"/>
          <w:szCs w:val="16"/>
        </w:rPr>
        <w:t>udienza di rinvio, la mancata comparizione assumerà l</w:t>
      </w:r>
      <w:r w:rsidR="007755CE">
        <w:rPr>
          <w:sz w:val="16"/>
          <w:szCs w:val="16"/>
        </w:rPr>
        <w:t>’</w:t>
      </w:r>
      <w:r>
        <w:rPr>
          <w:sz w:val="16"/>
          <w:szCs w:val="16"/>
        </w:rPr>
        <w:t>inequivoca valenza di consenso implicito alla declaratoria di estinzione</w:t>
      </w:r>
      <w:r>
        <w:rPr>
          <w:i/>
          <w:sz w:val="16"/>
          <w:szCs w:val="16"/>
        </w:rPr>
        <w:t xml:space="preserve"> ex</w:t>
      </w:r>
      <w:r>
        <w:rPr>
          <w:sz w:val="16"/>
          <w:szCs w:val="16"/>
        </w:rPr>
        <w:t xml:space="preserve"> art. 34, d.lgs. n. 274 del 2000. </w:t>
      </w:r>
    </w:p>
  </w:footnote>
  <w:footnote w:id="5">
    <w:p w:rsidR="00216952" w:rsidRDefault="00216952">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Ovvero: “venga richiesta l</w:t>
      </w:r>
      <w:r w:rsidR="007755CE">
        <w:rPr>
          <w:sz w:val="16"/>
          <w:szCs w:val="16"/>
        </w:rPr>
        <w:t>’</w:t>
      </w:r>
      <w:r>
        <w:rPr>
          <w:sz w:val="16"/>
          <w:szCs w:val="16"/>
        </w:rPr>
        <w:t>archiviazione”. V. nt.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952" w:rsidRPr="009B4ED5" w:rsidRDefault="00216952" w:rsidP="009B4ED5">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952" w:rsidRDefault="00216952">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D5" w:rsidRDefault="009B4ED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6195"/>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29" type="connector" idref="#AutoShape 6"/>
        <o:r id="V:Rule30" type="connector" idref="#AutoShape 3"/>
        <o:r id="V:Rule31" type="connector" idref="#AutoShape 4"/>
        <o:r id="V:Rule3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5CE"/>
    <w:rsid w:val="00002058"/>
    <w:rsid w:val="00104FF6"/>
    <w:rsid w:val="0020079F"/>
    <w:rsid w:val="00216952"/>
    <w:rsid w:val="00263847"/>
    <w:rsid w:val="002947A0"/>
    <w:rsid w:val="002F2903"/>
    <w:rsid w:val="002F3FAC"/>
    <w:rsid w:val="0034755C"/>
    <w:rsid w:val="0042427D"/>
    <w:rsid w:val="00481D5A"/>
    <w:rsid w:val="00564896"/>
    <w:rsid w:val="005F0223"/>
    <w:rsid w:val="00660675"/>
    <w:rsid w:val="006D4747"/>
    <w:rsid w:val="007755CE"/>
    <w:rsid w:val="00777903"/>
    <w:rsid w:val="009B4ED5"/>
    <w:rsid w:val="00B06928"/>
    <w:rsid w:val="00B200A1"/>
    <w:rsid w:val="00D2542A"/>
    <w:rsid w:val="00D3403B"/>
    <w:rsid w:val="00D70977"/>
    <w:rsid w:val="00DE42A0"/>
    <w:rsid w:val="00EB4851"/>
    <w:rsid w:val="00EC4844"/>
    <w:rsid w:val="00F75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95"/>
    <o:shapelayout v:ext="edit">
      <o:idmap v:ext="edit" data="1"/>
    </o:shapelayout>
  </w:shapeDefaults>
  <w:decimalSymbol w:val=","/>
  <w:listSeparator w:val=";"/>
  <w15:chartTrackingRefBased/>
  <w15:docId w15:val="{5EC9BA50-8C9E-43BA-B2E9-1F9E0BC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uiPriority w:val="99"/>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oSpacing1">
    <w:name w:val="No Spacing1"/>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character" w:customStyle="1" w:styleId="label">
    <w:name w:val="label"/>
    <w:rPr>
      <w:i/>
    </w:rPr>
  </w:style>
  <w:style w:type="paragraph" w:customStyle="1" w:styleId="liscio">
    <w:name w:val="liscio"/>
    <w:basedOn w:val="Normale"/>
    <w:pPr>
      <w:spacing w:before="100" w:beforeAutospacing="1" w:after="100" w:afterAutospacing="1"/>
    </w:pPr>
    <w:rPr>
      <w:sz w:val="24"/>
      <w:szCs w:val="24"/>
    </w:rPr>
  </w:style>
  <w:style w:type="character" w:customStyle="1" w:styleId="liscio1">
    <w:name w:val="liscio1"/>
  </w:style>
  <w:style w:type="character" w:customStyle="1" w:styleId="IntestazioneCarattere">
    <w:name w:val="Intestazione Carattere"/>
    <w:basedOn w:val="Carpredefinitoparagrafo"/>
    <w:link w:val="Intestazione"/>
    <w:uiPriority w:val="99"/>
    <w:locked/>
    <w:rsid w:val="00347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9140-719E-4414-B6F3-B002F1B3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169</Words>
  <Characters>965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17</cp:revision>
  <cp:lastPrinted>2015-07-29T12:46:00Z</cp:lastPrinted>
  <dcterms:created xsi:type="dcterms:W3CDTF">2015-10-22T15:13:00Z</dcterms:created>
  <dcterms:modified xsi:type="dcterms:W3CDTF">2016-06-01T15:21:00Z</dcterms:modified>
</cp:coreProperties>
</file>