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0D" w:rsidRDefault="00740E0D" w:rsidP="00740E0D">
      <w:pPr>
        <w:rPr>
          <w:rFonts w:ascii="Georgia" w:hAnsi="Georgia" w:cs="Arial"/>
          <w:b/>
          <w:bCs/>
          <w:color w:val="7F7F7F" w:themeColor="text1" w:themeTint="80"/>
        </w:rPr>
      </w:pPr>
    </w:p>
    <w:p w:rsidR="00740E0D" w:rsidRDefault="00740E0D" w:rsidP="00740E0D">
      <w:pPr>
        <w:pStyle w:val="Dicituraformula"/>
      </w:pPr>
      <w:r w:rsidRPr="00B05BD6">
        <w:t>FORMULA</w:t>
      </w:r>
      <w:r w:rsidRPr="00C3776F">
        <w:t xml:space="preserve"> </w:t>
      </w:r>
      <w:r>
        <w:t>084</w:t>
      </w:r>
    </w:p>
    <w:p w:rsidR="00740E0D" w:rsidRPr="00295779" w:rsidRDefault="00740E0D" w:rsidP="00740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40E0D" w:rsidRDefault="00740E0D" w:rsidP="00740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Appello avverso le ordinanze di rigetto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de</w:t>
      </w:r>
      <w:r>
        <w:rPr>
          <w:rFonts w:ascii="Arial" w:hAnsi="Arial" w:cs="Arial"/>
          <w:b/>
          <w:bCs/>
          <w:caps/>
          <w:sz w:val="20"/>
        </w:rPr>
        <w:t>lla richiesta</w:t>
      </w:r>
    </w:p>
    <w:p w:rsidR="00740E0D" w:rsidRPr="00295779" w:rsidRDefault="00740E0D" w:rsidP="00740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di revoca o sostituzione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di misura cautelare</w:t>
      </w:r>
    </w:p>
    <w:p w:rsidR="00740E0D" w:rsidRPr="00295779" w:rsidRDefault="00740E0D" w:rsidP="00740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310 c.p.p.)</w:t>
      </w:r>
    </w:p>
    <w:p w:rsidR="00740E0D" w:rsidRPr="00295779" w:rsidRDefault="00740E0D" w:rsidP="00740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740E0D" w:rsidRPr="008C759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740E0D" w:rsidRPr="00290A5A" w:rsidRDefault="00740E0D" w:rsidP="00740E0D">
      <w:pPr>
        <w:autoSpaceDE w:val="0"/>
        <w:autoSpaceDN w:val="0"/>
        <w:adjustRightInd w:val="0"/>
        <w:spacing w:line="230" w:lineRule="exact"/>
        <w:rPr>
          <w:rFonts w:asciiTheme="majorHAnsi" w:hAnsiTheme="majorHAnsi" w:cstheme="majorHAnsi"/>
        </w:rPr>
      </w:pP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TRIBUNALE DI &lt;...&gt;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SEZ. RIESAME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ATTO DI APPELLO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&lt;...&gt;, difensore di fiducia di &lt;...&gt;, nato il &lt;...&gt;, a &lt;...&gt;, residente in &lt;...&gt;, via &lt;...&gt;, n. &lt;...&gt;, indagato nell’ambito del proc. pen. n. &lt;...&gt; r.g.n.r.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in data &lt;...&gt; veniva notificato all’indagato ordinanza applicativa della misura coercitiva degli arresti domiciliari (o altra misura) emessa il &lt;...&gt; dal tribunale di &lt;...&gt;.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in data &lt;...&gt; l’istante presentava istanza di revoca della predetta misura cautelare per i seguenti motivi: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violazione dell’art. 273 c.p.p., per carenza di gravi indizi di colpevolezza;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violazione dell’art. 274 c.p.p., per mancanza assoluta dell’esigenza di indagini, essendo state espletate esaurientemente dalla P.G. come si rileva dagli atti.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detta istanza veniva rigettata dal giudice con ordinanza del &lt;...&gt; come da allegato provvedimento;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40E0D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Avverso la prefata ordinanza, il sottoscritto, nella qualità, propone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APPELLO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i seguenti motivi: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violazione dell’art. 273 c.p.p., perché sono inesistenti i presupposti previsti dalla norma;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violazione dell’art. &lt;...&gt; perché &lt;...&gt;;</w:t>
      </w: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errata applicazione dell’art. &lt;...&gt; perché &lt;...&gt;.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RICHIESTE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 il sottoscritto conclude perché siano accolte le seguenti richieste: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In via principale dichiararsi l’annullamento dell’ordinanza impugnata per carenza assoluta dei presupposti della misura cautelare;</w:t>
      </w:r>
    </w:p>
    <w:p w:rsidR="00740E0D" w:rsidRDefault="00740E0D" w:rsidP="00740E0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In via subordinata disporsi la sostituzione con una misura cautelare meno gravosa.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lastRenderedPageBreak/>
        <w:t>(Luogo e data)</w:t>
      </w:r>
    </w:p>
    <w:p w:rsidR="00740E0D" w:rsidRPr="00286B03" w:rsidRDefault="00740E0D" w:rsidP="00740E0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0D"/>
    <w:rsid w:val="001C036E"/>
    <w:rsid w:val="00267494"/>
    <w:rsid w:val="00290E8E"/>
    <w:rsid w:val="00740E0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AAE94-A801-4EDE-AE7B-A5AE23F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4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40E0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